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大标宋简体"/>
          <w:sz w:val="22"/>
        </w:rPr>
      </w:pPr>
      <w:r>
        <w:rPr>
          <w:rFonts w:eastAsia="方正大标宋简体"/>
          <w:sz w:val="22"/>
        </w:rPr>
        <w:t>Appendix 1</w:t>
      </w:r>
    </w:p>
    <w:p>
      <w:pPr>
        <w:widowControl/>
        <w:snapToGrid w:val="0"/>
        <w:spacing w:line="256" w:lineRule="auto"/>
        <w:jc w:val="center"/>
        <w:rPr>
          <w:sz w:val="28"/>
          <w:szCs w:val="28"/>
          <w:lang w:bidi="ar"/>
        </w:rPr>
      </w:pPr>
      <w:r>
        <w:rPr>
          <w:rFonts w:eastAsia="方正大标宋简体"/>
          <w:b/>
          <w:bCs/>
          <w:sz w:val="36"/>
          <w:szCs w:val="36"/>
        </w:rPr>
        <w:t>Comparative Table</w:t>
      </w:r>
    </w:p>
    <w:p>
      <w:pPr>
        <w:widowControl/>
        <w:snapToGrid w:val="0"/>
        <w:spacing w:line="256" w:lineRule="auto"/>
        <w:jc w:val="left"/>
        <w:rPr>
          <w:rFonts w:hint="eastAsia"/>
          <w:sz w:val="28"/>
          <w:szCs w:val="28"/>
          <w:lang w:bidi="ar"/>
        </w:rPr>
      </w:pPr>
      <w:r>
        <w:rPr>
          <w:sz w:val="28"/>
          <w:szCs w:val="28"/>
          <w:lang w:bidi="ar"/>
        </w:rPr>
        <w:t>Note: Bolded sections in red are newly added and sections with double strikethroughs are deleted.</w:t>
      </w:r>
    </w:p>
    <w:tbl>
      <w:tblPr>
        <w:tblStyle w:val="4"/>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1"/>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9" w:type="dxa"/>
            <w:gridSpan w:val="2"/>
            <w:shd w:val="clear" w:color="auto" w:fill="5B9BD5"/>
          </w:tcPr>
          <w:p>
            <w:pPr>
              <w:jc w:val="center"/>
              <w:rPr>
                <w:rFonts w:hint="eastAsia" w:eastAsia="方正仿宋简体"/>
                <w:b/>
                <w:color w:val="FFFFFF"/>
                <w:sz w:val="30"/>
                <w:szCs w:val="30"/>
              </w:rPr>
            </w:pPr>
            <w:r>
              <w:rPr>
                <w:rFonts w:eastAsia="方正仿宋简体"/>
                <w:b/>
                <w:color w:val="FFFFFF"/>
                <w:sz w:val="30"/>
                <w:szCs w:val="30"/>
              </w:rPr>
              <w:t>Delivery Rules of the Shanghai International Energy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shd w:val="clear" w:color="auto" w:fill="5B9BD5"/>
          </w:tcPr>
          <w:p>
            <w:pPr>
              <w:jc w:val="center"/>
              <w:rPr>
                <w:rFonts w:eastAsia="方正仿宋简体"/>
                <w:b/>
                <w:color w:val="FFFFFF"/>
                <w:sz w:val="30"/>
                <w:szCs w:val="30"/>
              </w:rPr>
            </w:pPr>
            <w:r>
              <w:rPr>
                <w:rFonts w:hint="eastAsia" w:eastAsia="方正仿宋简体"/>
                <w:b/>
                <w:color w:val="FFFFFF"/>
                <w:sz w:val="30"/>
                <w:szCs w:val="30"/>
              </w:rPr>
              <w:t>Revised</w:t>
            </w:r>
          </w:p>
        </w:tc>
        <w:tc>
          <w:tcPr>
            <w:tcW w:w="7088" w:type="dxa"/>
            <w:shd w:val="clear" w:color="auto" w:fill="5B9BD5"/>
          </w:tcPr>
          <w:p>
            <w:pPr>
              <w:jc w:val="center"/>
              <w:rPr>
                <w:rFonts w:eastAsia="方正仿宋简体"/>
                <w:b/>
                <w:color w:val="FFFFFF"/>
                <w:sz w:val="30"/>
                <w:szCs w:val="30"/>
              </w:rPr>
            </w:pPr>
            <w:r>
              <w:rPr>
                <w:rFonts w:hint="eastAsia" w:eastAsia="方正仿宋简体"/>
                <w:b/>
                <w:color w:val="FFFFFF"/>
                <w:sz w:val="30"/>
                <w:szCs w:val="30"/>
              </w:rPr>
              <w:t>Current Version (Effective on February 9,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vAlign w:val="center"/>
          </w:tcPr>
          <w:p>
            <w:pPr>
              <w:autoSpaceDE w:val="0"/>
              <w:autoSpaceDN w:val="0"/>
              <w:snapToGrid w:val="0"/>
              <w:spacing w:line="360" w:lineRule="auto"/>
              <w:ind w:firstLine="441" w:firstLineChars="200"/>
              <w:rPr>
                <w:rFonts w:eastAsia="等线"/>
                <w:sz w:val="22"/>
              </w:rPr>
            </w:pPr>
            <w:r>
              <w:rPr>
                <w:rFonts w:eastAsia="等线"/>
                <w:b/>
                <w:sz w:val="22"/>
                <w:lang w:bidi="ar"/>
              </w:rPr>
              <w:t>Article 217</w:t>
            </w:r>
            <w:r>
              <w:rPr>
                <w:rFonts w:eastAsia="等线"/>
                <w:sz w:val="22"/>
                <w:lang w:bidi="ar"/>
              </w:rPr>
              <w:tab/>
            </w:r>
            <w:r>
              <w:rPr>
                <w:rFonts w:eastAsia="等线"/>
                <w:sz w:val="22"/>
                <w:lang w:bidi="ar"/>
              </w:rPr>
              <w:t xml:space="preserve">The final settlement price of a containerized freight index (Europe Service) futures contract is the benchmark price for the delivery settlement of containerized freight index futures, and is calculated as the arithmetic mean value of the three (3) Shanghai (export) Containerized Freight Index </w:t>
            </w:r>
            <w:r>
              <w:rPr>
                <w:rFonts w:hint="eastAsia" w:eastAsia="等线"/>
                <w:b/>
                <w:bCs/>
                <w:color w:val="FF0000"/>
                <w:sz w:val="22"/>
                <w:lang w:bidi="ar"/>
              </w:rPr>
              <w:t xml:space="preserve">based on Settled Rates </w:t>
            </w:r>
            <w:r>
              <w:rPr>
                <w:rFonts w:eastAsia="等线"/>
                <w:sz w:val="22"/>
                <w:lang w:bidi="ar"/>
              </w:rPr>
              <w:t>(Europe service) values published by the</w:t>
            </w:r>
            <w:r>
              <w:rPr>
                <w:rFonts w:hint="eastAsia" w:eastAsia="等线"/>
                <w:sz w:val="22"/>
                <w:lang w:bidi="ar"/>
              </w:rPr>
              <w:t xml:space="preserve"> </w:t>
            </w:r>
            <w:r>
              <w:rPr>
                <w:rFonts w:hint="eastAsia" w:eastAsia="等线"/>
                <w:b/>
                <w:bCs/>
                <w:color w:val="FF0000"/>
                <w:sz w:val="22"/>
                <w:lang w:bidi="ar"/>
              </w:rPr>
              <w:t xml:space="preserve">institution that compiles and publishes the above index </w:t>
            </w:r>
            <w:r>
              <w:rPr>
                <w:rFonts w:eastAsia="等线"/>
                <w:dstrike/>
                <w:sz w:val="22"/>
                <w:lang w:bidi="ar"/>
              </w:rPr>
              <w:t>Shanghai Shipping Exchange</w:t>
            </w:r>
            <w:r>
              <w:rPr>
                <w:rFonts w:eastAsia="等线"/>
                <w:sz w:val="22"/>
                <w:lang w:bidi="ar"/>
              </w:rPr>
              <w:t xml:space="preserve"> on the last trading day of the contract and on the first and second index publication days before the last trading day. In terms of formula:</w:t>
            </w:r>
          </w:p>
          <w:p>
            <w:pPr>
              <w:autoSpaceDE w:val="0"/>
              <w:autoSpaceDN w:val="0"/>
              <w:snapToGrid w:val="0"/>
              <w:spacing w:line="360" w:lineRule="auto"/>
              <w:ind w:firstLine="440" w:firstLineChars="200"/>
              <w:rPr>
                <w:rFonts w:eastAsia="等线"/>
                <w:sz w:val="22"/>
              </w:rPr>
            </w:pPr>
          </w:p>
          <w:p>
            <w:pPr>
              <w:autoSpaceDE w:val="0"/>
              <w:autoSpaceDN w:val="0"/>
              <w:snapToGrid w:val="0"/>
              <w:spacing w:line="360" w:lineRule="auto"/>
              <w:ind w:firstLine="420" w:firstLineChars="200"/>
              <w:jc w:val="center"/>
              <w:rPr>
                <w:rFonts w:eastAsia="等线"/>
                <w:sz w:val="22"/>
              </w:rPr>
            </w:pPr>
            <w:r>
              <w:rPr>
                <w:rFonts w:hint="eastAsia" w:ascii="等线" w:hAnsi="等线" w:eastAsia="等线"/>
                <w:lang w:bidi="ar"/>
              </w:rPr>
              <w:drawing>
                <wp:inline distT="0" distB="0" distL="114300" distR="114300">
                  <wp:extent cx="106680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066800" cy="400050"/>
                          </a:xfrm>
                          <a:prstGeom prst="rect">
                            <a:avLst/>
                          </a:prstGeom>
                          <a:noFill/>
                          <a:ln>
                            <a:noFill/>
                          </a:ln>
                        </pic:spPr>
                      </pic:pic>
                    </a:graphicData>
                  </a:graphic>
                </wp:inline>
              </w:drawing>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T</w:t>
            </w:r>
            <w:r>
              <w:rPr>
                <w:rFonts w:eastAsia="等线"/>
                <w:sz w:val="22"/>
                <w:lang w:bidi="ar"/>
              </w:rPr>
              <w:t>: The final settlement price of a containerized freight index (Europe Service) futures contract</w:t>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1</w:t>
            </w:r>
            <w:r>
              <w:rPr>
                <w:rFonts w:eastAsia="等线"/>
                <w:sz w:val="22"/>
                <w:lang w:bidi="ar"/>
              </w:rPr>
              <w:t xml:space="preserve">: The index point value published by the </w:t>
            </w:r>
            <w:r>
              <w:rPr>
                <w:rFonts w:hint="eastAsia" w:eastAsia="等线"/>
                <w:b/>
                <w:bCs/>
                <w:color w:val="FF0000"/>
                <w:sz w:val="22"/>
                <w:lang w:bidi="ar"/>
              </w:rPr>
              <w:t>institution that compiles and publishes the Shanghai (export) Containerized Freight Index based on Settled Rates (Europe service)</w:t>
            </w:r>
            <w:r>
              <w:rPr>
                <w:rFonts w:eastAsia="等线"/>
                <w:dstrike/>
                <w:sz w:val="22"/>
                <w:lang w:bidi="ar"/>
              </w:rPr>
              <w:t>Shanghai Shipping Exchange</w:t>
            </w:r>
            <w:r>
              <w:rPr>
                <w:rFonts w:eastAsia="等线"/>
                <w:sz w:val="22"/>
                <w:lang w:bidi="ar"/>
              </w:rPr>
              <w:t xml:space="preserve"> on the second index publication day before the last trading day of the contract</w:t>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2</w:t>
            </w:r>
            <w:r>
              <w:rPr>
                <w:rFonts w:eastAsia="等线"/>
                <w:sz w:val="22"/>
                <w:lang w:bidi="ar"/>
              </w:rPr>
              <w:t xml:space="preserve">: The index point value published by the </w:t>
            </w:r>
            <w:r>
              <w:rPr>
                <w:rFonts w:hint="eastAsia" w:eastAsia="等线"/>
                <w:b/>
                <w:bCs/>
                <w:color w:val="FF0000"/>
                <w:sz w:val="22"/>
                <w:lang w:bidi="ar"/>
              </w:rPr>
              <w:t>institution that compiles and publishes the Shanghai (export) Containerized Freight Index based on Settled Rates (Europe service)</w:t>
            </w:r>
            <w:r>
              <w:rPr>
                <w:rFonts w:eastAsia="等线"/>
                <w:dstrike/>
                <w:sz w:val="22"/>
                <w:lang w:bidi="ar"/>
              </w:rPr>
              <w:t>Shanghai Shipping Exchange</w:t>
            </w:r>
            <w:r>
              <w:rPr>
                <w:rFonts w:eastAsia="等线"/>
                <w:sz w:val="22"/>
                <w:lang w:bidi="ar"/>
              </w:rPr>
              <w:t xml:space="preserve"> on the first index publication day before the last trading day of the contract</w:t>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3</w:t>
            </w:r>
            <w:r>
              <w:rPr>
                <w:rFonts w:eastAsia="等线"/>
                <w:sz w:val="22"/>
                <w:lang w:bidi="ar"/>
              </w:rPr>
              <w:t xml:space="preserve">: The index point value published by the </w:t>
            </w:r>
            <w:r>
              <w:rPr>
                <w:rFonts w:hint="eastAsia" w:eastAsia="等线"/>
                <w:b/>
                <w:bCs/>
                <w:color w:val="FF0000"/>
                <w:sz w:val="22"/>
                <w:lang w:bidi="ar"/>
              </w:rPr>
              <w:t>institution that compiles and publishes the Shanghai (export) Containerized Freight Index based on Settled Rates (Europe service)</w:t>
            </w:r>
            <w:r>
              <w:rPr>
                <w:rFonts w:eastAsia="等线"/>
                <w:dstrike/>
                <w:sz w:val="22"/>
                <w:lang w:bidi="ar"/>
              </w:rPr>
              <w:t>Shanghai Shipping Exchange</w:t>
            </w:r>
            <w:r>
              <w:rPr>
                <w:rFonts w:eastAsia="等线"/>
                <w:sz w:val="22"/>
                <w:lang w:bidi="ar"/>
              </w:rPr>
              <w:t xml:space="preserve"> on the last trading day of the contract</w:t>
            </w:r>
          </w:p>
          <w:p>
            <w:pPr>
              <w:autoSpaceDE w:val="0"/>
              <w:autoSpaceDN w:val="0"/>
              <w:snapToGrid w:val="0"/>
              <w:spacing w:line="360" w:lineRule="auto"/>
              <w:ind w:firstLine="440" w:firstLineChars="200"/>
              <w:rPr>
                <w:rFonts w:hint="eastAsia" w:eastAsia="等线"/>
                <w:sz w:val="22"/>
              </w:rPr>
            </w:pPr>
            <w:r>
              <w:rPr>
                <w:rFonts w:eastAsia="等线"/>
                <w:sz w:val="22"/>
                <w:lang w:bidi="ar"/>
              </w:rPr>
              <w:t>If the</w:t>
            </w:r>
            <w:r>
              <w:rPr>
                <w:rFonts w:hint="eastAsia" w:eastAsia="等线"/>
                <w:sz w:val="22"/>
                <w:lang w:bidi="ar"/>
              </w:rPr>
              <w:t xml:space="preserve"> </w:t>
            </w:r>
            <w:r>
              <w:rPr>
                <w:rFonts w:hint="eastAsia" w:eastAsia="等线"/>
                <w:b/>
                <w:bCs/>
                <w:color w:val="FF0000"/>
                <w:sz w:val="22"/>
                <w:lang w:bidi="ar"/>
              </w:rPr>
              <w:t>institution that compiles and publishes the above index</w:t>
            </w:r>
            <w:r>
              <w:rPr>
                <w:rFonts w:eastAsia="等线"/>
                <w:dstrike/>
                <w:sz w:val="22"/>
                <w:lang w:bidi="ar"/>
              </w:rPr>
              <w:t>Shanghai Shipping Exchange</w:t>
            </w:r>
            <w:r>
              <w:rPr>
                <w:rFonts w:eastAsia="等线"/>
                <w:sz w:val="22"/>
                <w:lang w:bidi="ar"/>
              </w:rPr>
              <w:t xml:space="preserve"> does not publish P</w:t>
            </w:r>
            <w:r>
              <w:rPr>
                <w:rFonts w:eastAsia="等线"/>
                <w:sz w:val="22"/>
                <w:vertAlign w:val="subscript"/>
                <w:lang w:bidi="ar"/>
              </w:rPr>
              <w:t>1</w:t>
            </w:r>
            <w:r>
              <w:rPr>
                <w:rFonts w:eastAsia="等线"/>
                <w:sz w:val="22"/>
                <w:lang w:bidi="ar"/>
              </w:rPr>
              <w:t xml:space="preserve"> and P</w:t>
            </w:r>
            <w:r>
              <w:rPr>
                <w:rFonts w:eastAsia="等线"/>
                <w:sz w:val="22"/>
                <w:vertAlign w:val="subscript"/>
                <w:lang w:bidi="ar"/>
              </w:rPr>
              <w:t xml:space="preserve">2 </w:t>
            </w:r>
            <w:r>
              <w:rPr>
                <w:rFonts w:eastAsia="等线"/>
                <w:sz w:val="22"/>
                <w:lang w:bidi="ar"/>
              </w:rPr>
              <w:t>before 3:05 p.m. Beijing time on the Wednesday of the week when P</w:t>
            </w:r>
            <w:r>
              <w:rPr>
                <w:rFonts w:eastAsia="等线"/>
                <w:sz w:val="22"/>
                <w:vertAlign w:val="subscript"/>
                <w:lang w:bidi="ar"/>
              </w:rPr>
              <w:t>1</w:t>
            </w:r>
            <w:r>
              <w:rPr>
                <w:rFonts w:eastAsia="等线"/>
                <w:sz w:val="22"/>
                <w:lang w:bidi="ar"/>
              </w:rPr>
              <w:t xml:space="preserve"> and P</w:t>
            </w:r>
            <w:r>
              <w:rPr>
                <w:rFonts w:eastAsia="等线"/>
                <w:sz w:val="22"/>
                <w:vertAlign w:val="subscript"/>
                <w:lang w:bidi="ar"/>
              </w:rPr>
              <w:t xml:space="preserve">2 </w:t>
            </w:r>
            <w:r>
              <w:rPr>
                <w:rFonts w:eastAsia="等线"/>
                <w:sz w:val="22"/>
                <w:lang w:bidi="ar"/>
              </w:rPr>
              <w:t>should be published, or does not publish P</w:t>
            </w:r>
            <w:r>
              <w:rPr>
                <w:rFonts w:eastAsia="等线"/>
                <w:sz w:val="22"/>
                <w:vertAlign w:val="subscript"/>
                <w:lang w:bidi="ar"/>
              </w:rPr>
              <w:t>3</w:t>
            </w:r>
            <w:r>
              <w:rPr>
                <w:rFonts w:eastAsia="等线"/>
                <w:sz w:val="22"/>
                <w:lang w:bidi="ar"/>
              </w:rPr>
              <w:t xml:space="preserve"> before 3:30 p.m. Beijing time on the day when P</w:t>
            </w:r>
            <w:r>
              <w:rPr>
                <w:rFonts w:eastAsia="等线"/>
                <w:sz w:val="22"/>
                <w:vertAlign w:val="subscript"/>
                <w:lang w:bidi="ar"/>
              </w:rPr>
              <w:t>3</w:t>
            </w:r>
            <w:r>
              <w:rPr>
                <w:rFonts w:eastAsia="等线"/>
                <w:sz w:val="22"/>
                <w:lang w:bidi="ar"/>
              </w:rPr>
              <w:t xml:space="preserve"> should be published, the Exchange may determine P</w:t>
            </w:r>
            <w:r>
              <w:rPr>
                <w:rFonts w:eastAsia="等线"/>
                <w:sz w:val="22"/>
                <w:vertAlign w:val="subscript"/>
                <w:lang w:bidi="ar"/>
              </w:rPr>
              <w:t>1</w:t>
            </w:r>
            <w:r>
              <w:rPr>
                <w:rFonts w:eastAsia="等线"/>
                <w:sz w:val="22"/>
                <w:lang w:bidi="ar"/>
              </w:rPr>
              <w:t>, P</w:t>
            </w:r>
            <w:r>
              <w:rPr>
                <w:rFonts w:eastAsia="等线"/>
                <w:sz w:val="22"/>
                <w:vertAlign w:val="subscript"/>
                <w:lang w:bidi="ar"/>
              </w:rPr>
              <w:t>2</w:t>
            </w:r>
            <w:r>
              <w:rPr>
                <w:rFonts w:eastAsia="等线"/>
                <w:sz w:val="22"/>
                <w:lang w:bidi="ar"/>
              </w:rPr>
              <w:t>, and P</w:t>
            </w:r>
            <w:r>
              <w:rPr>
                <w:rFonts w:eastAsia="等线"/>
                <w:sz w:val="22"/>
                <w:vertAlign w:val="subscript"/>
                <w:lang w:bidi="ar"/>
              </w:rPr>
              <w:t>3</w:t>
            </w:r>
            <w:r>
              <w:rPr>
                <w:rFonts w:eastAsia="等线"/>
                <w:sz w:val="22"/>
                <w:lang w:bidi="ar"/>
              </w:rPr>
              <w:t xml:space="preserve"> based on market conditions and timely announce them to the market.</w:t>
            </w:r>
          </w:p>
        </w:tc>
        <w:tc>
          <w:tcPr>
            <w:tcW w:w="7088" w:type="dxa"/>
            <w:vAlign w:val="center"/>
          </w:tcPr>
          <w:p>
            <w:pPr>
              <w:autoSpaceDE w:val="0"/>
              <w:autoSpaceDN w:val="0"/>
              <w:snapToGrid w:val="0"/>
              <w:spacing w:line="360" w:lineRule="auto"/>
              <w:ind w:firstLine="441" w:firstLineChars="200"/>
              <w:rPr>
                <w:rFonts w:eastAsia="等线"/>
                <w:sz w:val="22"/>
              </w:rPr>
            </w:pPr>
            <w:r>
              <w:rPr>
                <w:rFonts w:eastAsia="等线"/>
                <w:b/>
                <w:sz w:val="22"/>
                <w:lang w:bidi="ar"/>
              </w:rPr>
              <w:t>Article 217</w:t>
            </w:r>
            <w:r>
              <w:rPr>
                <w:rFonts w:eastAsia="等线"/>
                <w:sz w:val="22"/>
                <w:lang w:bidi="ar"/>
              </w:rPr>
              <w:tab/>
            </w:r>
            <w:r>
              <w:rPr>
                <w:rFonts w:eastAsia="等线"/>
                <w:sz w:val="22"/>
                <w:lang w:bidi="ar"/>
              </w:rPr>
              <w:t>The final settlement price of a containerized freight index (Europe Service) futures contract is the benchmark price for the delivery settlement of containerized freight index futures, and is calculated as the arithmetic mean value of the three (3) Shanghai (export) Containerized Freight Index (Europe service) values published by the Shanghai Shipping Exchange on the last trading day of the contract and on the first and second index publication days before the last trading day. In terms of formula:</w:t>
            </w:r>
          </w:p>
          <w:p>
            <w:pPr>
              <w:autoSpaceDE w:val="0"/>
              <w:autoSpaceDN w:val="0"/>
              <w:snapToGrid w:val="0"/>
              <w:spacing w:line="360" w:lineRule="auto"/>
              <w:ind w:firstLine="420" w:firstLineChars="200"/>
              <w:jc w:val="center"/>
              <w:rPr>
                <w:rFonts w:eastAsia="等线"/>
                <w:sz w:val="22"/>
              </w:rPr>
            </w:pPr>
            <w:r>
              <w:rPr>
                <w:rFonts w:hint="eastAsia" w:ascii="等线" w:hAnsi="等线" w:eastAsia="等线"/>
                <w:lang w:bidi="ar"/>
              </w:rPr>
              <w:drawing>
                <wp:inline distT="0" distB="0" distL="114300" distR="114300">
                  <wp:extent cx="106680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066800" cy="400050"/>
                          </a:xfrm>
                          <a:prstGeom prst="rect">
                            <a:avLst/>
                          </a:prstGeom>
                          <a:noFill/>
                          <a:ln>
                            <a:noFill/>
                          </a:ln>
                        </pic:spPr>
                      </pic:pic>
                    </a:graphicData>
                  </a:graphic>
                </wp:inline>
              </w:drawing>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T</w:t>
            </w:r>
            <w:r>
              <w:rPr>
                <w:rFonts w:eastAsia="等线"/>
                <w:sz w:val="22"/>
                <w:lang w:bidi="ar"/>
              </w:rPr>
              <w:t>: The final settlement price of a containerized freight index (Europe Service) futures contract</w:t>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1</w:t>
            </w:r>
            <w:r>
              <w:rPr>
                <w:rFonts w:eastAsia="等线"/>
                <w:sz w:val="22"/>
                <w:lang w:bidi="ar"/>
              </w:rPr>
              <w:t>: The index point value published by the Shanghai Shipping Exchange on the second index publication day before the last trading day of the contract</w:t>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2</w:t>
            </w:r>
            <w:r>
              <w:rPr>
                <w:rFonts w:eastAsia="等线"/>
                <w:sz w:val="22"/>
                <w:lang w:bidi="ar"/>
              </w:rPr>
              <w:t>: The index point value published by the Shanghai Shipping Exchange on the first index publication day before the last trading day of the contract</w:t>
            </w:r>
          </w:p>
          <w:p>
            <w:pPr>
              <w:autoSpaceDE w:val="0"/>
              <w:autoSpaceDN w:val="0"/>
              <w:snapToGrid w:val="0"/>
              <w:spacing w:line="360" w:lineRule="auto"/>
              <w:ind w:firstLine="440" w:firstLineChars="200"/>
              <w:rPr>
                <w:rFonts w:eastAsia="等线"/>
                <w:sz w:val="22"/>
              </w:rPr>
            </w:pPr>
            <w:r>
              <w:rPr>
                <w:rFonts w:eastAsia="等线"/>
                <w:i/>
                <w:sz w:val="22"/>
                <w:lang w:bidi="ar"/>
              </w:rPr>
              <w:t>P</w:t>
            </w:r>
            <w:r>
              <w:rPr>
                <w:rFonts w:eastAsia="等线"/>
                <w:i/>
                <w:sz w:val="22"/>
                <w:vertAlign w:val="subscript"/>
                <w:lang w:bidi="ar"/>
              </w:rPr>
              <w:t>3</w:t>
            </w:r>
            <w:r>
              <w:rPr>
                <w:rFonts w:eastAsia="等线"/>
                <w:sz w:val="22"/>
                <w:lang w:bidi="ar"/>
              </w:rPr>
              <w:t>: The index point value published by the Shanghai Shipping Exchange on the last trading day of the contract</w:t>
            </w:r>
          </w:p>
          <w:p>
            <w:pPr>
              <w:autoSpaceDE w:val="0"/>
              <w:autoSpaceDN w:val="0"/>
              <w:snapToGrid w:val="0"/>
              <w:spacing w:line="360" w:lineRule="auto"/>
              <w:ind w:firstLine="440" w:firstLineChars="200"/>
              <w:rPr>
                <w:rFonts w:eastAsia="等线"/>
                <w:sz w:val="22"/>
              </w:rPr>
            </w:pPr>
            <w:bookmarkStart w:id="0" w:name="OLE_LINK14"/>
            <w:r>
              <w:rPr>
                <w:rFonts w:eastAsia="等线"/>
                <w:sz w:val="22"/>
                <w:lang w:bidi="ar"/>
              </w:rPr>
              <w:t>If the Shanghai Shipping Exchange does not publish P</w:t>
            </w:r>
            <w:r>
              <w:rPr>
                <w:rFonts w:eastAsia="等线"/>
                <w:sz w:val="22"/>
                <w:vertAlign w:val="subscript"/>
                <w:lang w:bidi="ar"/>
              </w:rPr>
              <w:t>1</w:t>
            </w:r>
            <w:r>
              <w:rPr>
                <w:rFonts w:eastAsia="等线"/>
                <w:sz w:val="22"/>
                <w:lang w:bidi="ar"/>
              </w:rPr>
              <w:t xml:space="preserve"> and P</w:t>
            </w:r>
            <w:r>
              <w:rPr>
                <w:rFonts w:eastAsia="等线"/>
                <w:sz w:val="22"/>
                <w:vertAlign w:val="subscript"/>
                <w:lang w:bidi="ar"/>
              </w:rPr>
              <w:t xml:space="preserve">2 </w:t>
            </w:r>
            <w:r>
              <w:rPr>
                <w:rFonts w:eastAsia="等线"/>
                <w:sz w:val="22"/>
                <w:lang w:bidi="ar"/>
              </w:rPr>
              <w:t>before 3:05 p.m. Beijing time on the Wednesday of the week when P</w:t>
            </w:r>
            <w:r>
              <w:rPr>
                <w:rFonts w:eastAsia="等线"/>
                <w:sz w:val="22"/>
                <w:vertAlign w:val="subscript"/>
                <w:lang w:bidi="ar"/>
              </w:rPr>
              <w:t>1</w:t>
            </w:r>
            <w:r>
              <w:rPr>
                <w:rFonts w:eastAsia="等线"/>
                <w:sz w:val="22"/>
                <w:lang w:bidi="ar"/>
              </w:rPr>
              <w:t xml:space="preserve"> and P</w:t>
            </w:r>
            <w:r>
              <w:rPr>
                <w:rFonts w:eastAsia="等线"/>
                <w:sz w:val="22"/>
                <w:vertAlign w:val="subscript"/>
                <w:lang w:bidi="ar"/>
              </w:rPr>
              <w:t xml:space="preserve">2 </w:t>
            </w:r>
            <w:r>
              <w:rPr>
                <w:rFonts w:eastAsia="等线"/>
                <w:sz w:val="22"/>
                <w:lang w:bidi="ar"/>
              </w:rPr>
              <w:t>should be published, or does not publish P</w:t>
            </w:r>
            <w:r>
              <w:rPr>
                <w:rFonts w:eastAsia="等线"/>
                <w:sz w:val="22"/>
                <w:vertAlign w:val="subscript"/>
                <w:lang w:bidi="ar"/>
              </w:rPr>
              <w:t>3</w:t>
            </w:r>
            <w:r>
              <w:rPr>
                <w:rFonts w:eastAsia="等线"/>
                <w:sz w:val="22"/>
                <w:lang w:bidi="ar"/>
              </w:rPr>
              <w:t xml:space="preserve"> before 3:30 p.m. Beijing time on the day when P</w:t>
            </w:r>
            <w:r>
              <w:rPr>
                <w:rFonts w:eastAsia="等线"/>
                <w:sz w:val="22"/>
                <w:vertAlign w:val="subscript"/>
                <w:lang w:bidi="ar"/>
              </w:rPr>
              <w:t>3</w:t>
            </w:r>
            <w:r>
              <w:rPr>
                <w:rFonts w:eastAsia="等线"/>
                <w:sz w:val="22"/>
                <w:lang w:bidi="ar"/>
              </w:rPr>
              <w:t xml:space="preserve"> should be published, the Exchange may determine P</w:t>
            </w:r>
            <w:r>
              <w:rPr>
                <w:rFonts w:eastAsia="等线"/>
                <w:sz w:val="22"/>
                <w:vertAlign w:val="subscript"/>
                <w:lang w:bidi="ar"/>
              </w:rPr>
              <w:t>1</w:t>
            </w:r>
            <w:r>
              <w:rPr>
                <w:rFonts w:eastAsia="等线"/>
                <w:sz w:val="22"/>
                <w:lang w:bidi="ar"/>
              </w:rPr>
              <w:t>, P</w:t>
            </w:r>
            <w:r>
              <w:rPr>
                <w:rFonts w:eastAsia="等线"/>
                <w:sz w:val="22"/>
                <w:vertAlign w:val="subscript"/>
                <w:lang w:bidi="ar"/>
              </w:rPr>
              <w:t>2</w:t>
            </w:r>
            <w:r>
              <w:rPr>
                <w:rFonts w:eastAsia="等线"/>
                <w:sz w:val="22"/>
                <w:lang w:bidi="ar"/>
              </w:rPr>
              <w:t>, and P</w:t>
            </w:r>
            <w:r>
              <w:rPr>
                <w:rFonts w:eastAsia="等线"/>
                <w:sz w:val="22"/>
                <w:vertAlign w:val="subscript"/>
                <w:lang w:bidi="ar"/>
              </w:rPr>
              <w:t>3</w:t>
            </w:r>
            <w:r>
              <w:rPr>
                <w:rFonts w:eastAsia="等线"/>
                <w:sz w:val="22"/>
                <w:lang w:bidi="ar"/>
              </w:rPr>
              <w:t xml:space="preserve"> based on market conditions and timely announce them to the market.</w:t>
            </w:r>
          </w:p>
          <w:bookmarkEnd w:id="0"/>
          <w:p>
            <w:pPr>
              <w:spacing w:line="560" w:lineRule="exact"/>
              <w:ind w:firstLine="600"/>
              <w:rPr>
                <w:rFonts w:eastAsia="方正仿宋简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1" w:type="dxa"/>
            <w:vAlign w:val="center"/>
          </w:tcPr>
          <w:p>
            <w:pPr>
              <w:tabs>
                <w:tab w:val="left" w:pos="1276"/>
              </w:tabs>
              <w:adjustRightInd w:val="0"/>
              <w:snapToGrid w:val="0"/>
              <w:spacing w:line="360" w:lineRule="auto"/>
              <w:ind w:firstLine="441" w:firstLineChars="200"/>
              <w:rPr>
                <w:rFonts w:eastAsia="方正仿宋简体"/>
                <w:dstrike/>
                <w:color w:val="000000"/>
                <w:kern w:val="0"/>
                <w:sz w:val="30"/>
                <w:szCs w:val="30"/>
              </w:rPr>
            </w:pPr>
            <w:r>
              <w:rPr>
                <w:rFonts w:eastAsia="等线"/>
                <w:b/>
                <w:sz w:val="22"/>
                <w:lang w:bidi="ar"/>
              </w:rPr>
              <w:t>Article 224</w:t>
            </w:r>
            <w:r>
              <w:rPr>
                <w:rFonts w:eastAsia="等线"/>
                <w:sz w:val="22"/>
                <w:lang w:bidi="ar"/>
              </w:rPr>
              <w:tab/>
            </w:r>
            <w:r>
              <w:rPr>
                <w:rFonts w:eastAsia="等线"/>
                <w:sz w:val="22"/>
                <w:lang w:bidi="ar"/>
              </w:rPr>
              <w:t xml:space="preserve">These Delivery Rules are effective from </w:t>
            </w:r>
            <w:r>
              <w:rPr>
                <w:rFonts w:hint="eastAsia" w:eastAsia="方正仿宋简体"/>
                <w:b/>
                <w:bCs/>
                <w:color w:val="FF0000"/>
                <w:sz w:val="22"/>
              </w:rPr>
              <w:t>June</w:t>
            </w:r>
            <w:r>
              <w:rPr>
                <w:rFonts w:hint="eastAsia" w:eastAsia="方正仿宋简体"/>
                <w:b/>
                <w:bCs/>
                <w:color w:val="FF0000"/>
                <w:sz w:val="22"/>
                <w:lang w:val="en-US" w:eastAsia="zh-CN"/>
              </w:rPr>
              <w:t xml:space="preserve"> </w:t>
            </w:r>
            <w:r>
              <w:rPr>
                <w:rFonts w:eastAsia="等线"/>
                <w:dstrike/>
                <w:sz w:val="22"/>
                <w:lang w:bidi="ar"/>
              </w:rPr>
              <w:t>February</w:t>
            </w:r>
            <w:r>
              <w:rPr>
                <w:rFonts w:eastAsia="等线"/>
                <w:sz w:val="22"/>
                <w:lang w:bidi="ar"/>
              </w:rPr>
              <w:t xml:space="preserve"> </w:t>
            </w:r>
            <w:r>
              <w:rPr>
                <w:rFonts w:hint="eastAsia" w:eastAsia="方正仿宋简体"/>
                <w:b/>
                <w:bCs/>
                <w:color w:val="FF0000"/>
                <w:sz w:val="22"/>
              </w:rPr>
              <w:t>18</w:t>
            </w:r>
            <w:r>
              <w:rPr>
                <w:rFonts w:eastAsia="等线"/>
                <w:dstrike/>
                <w:sz w:val="22"/>
                <w:lang w:bidi="ar"/>
              </w:rPr>
              <w:t>9</w:t>
            </w:r>
            <w:r>
              <w:rPr>
                <w:rFonts w:eastAsia="等线"/>
                <w:sz w:val="22"/>
                <w:lang w:bidi="ar"/>
              </w:rPr>
              <w:t>,</w:t>
            </w:r>
            <w:r>
              <w:rPr>
                <w:rFonts w:eastAsia="方正仿宋简体"/>
                <w:color w:val="000000"/>
                <w:kern w:val="0"/>
                <w:sz w:val="22"/>
              </w:rPr>
              <w:t>202</w:t>
            </w:r>
            <w:r>
              <w:rPr>
                <w:rFonts w:eastAsia="方正仿宋简体"/>
                <w:dstrike w:val="0"/>
                <w:color w:val="000000"/>
                <w:kern w:val="0"/>
                <w:sz w:val="22"/>
              </w:rPr>
              <w:t>6</w:t>
            </w:r>
            <w:bookmarkStart w:id="1" w:name="_GoBack"/>
            <w:bookmarkEnd w:id="1"/>
            <w:r>
              <w:rPr>
                <w:rFonts w:eastAsia="等线"/>
                <w:sz w:val="22"/>
                <w:lang w:bidi="ar"/>
              </w:rPr>
              <w:t>.</w:t>
            </w:r>
          </w:p>
        </w:tc>
        <w:tc>
          <w:tcPr>
            <w:tcW w:w="7088" w:type="dxa"/>
            <w:vAlign w:val="center"/>
          </w:tcPr>
          <w:p>
            <w:pPr>
              <w:tabs>
                <w:tab w:val="left" w:pos="1276"/>
              </w:tabs>
              <w:adjustRightInd w:val="0"/>
              <w:snapToGrid w:val="0"/>
              <w:spacing w:line="360" w:lineRule="auto"/>
            </w:pPr>
            <w:r>
              <w:rPr>
                <w:rFonts w:eastAsia="等线"/>
                <w:b/>
                <w:sz w:val="22"/>
                <w:lang w:bidi="ar"/>
              </w:rPr>
              <w:t>Article 224</w:t>
            </w:r>
            <w:r>
              <w:rPr>
                <w:rFonts w:eastAsia="等线"/>
                <w:sz w:val="22"/>
                <w:lang w:bidi="ar"/>
              </w:rPr>
              <w:tab/>
            </w:r>
            <w:r>
              <w:rPr>
                <w:rFonts w:eastAsia="等线"/>
                <w:sz w:val="22"/>
                <w:lang w:bidi="ar"/>
              </w:rPr>
              <w:t xml:space="preserve">These Delivery Rules are effective from </w:t>
            </w:r>
            <w:r>
              <w:rPr>
                <w:rFonts w:hint="eastAsia" w:eastAsia="等线"/>
                <w:sz w:val="22"/>
                <w:lang w:bidi="ar"/>
              </w:rPr>
              <w:t>February 9, 2026</w:t>
            </w:r>
            <w:r>
              <w:rPr>
                <w:rFonts w:eastAsia="等线"/>
                <w:sz w:val="22"/>
                <w:lang w:bidi="ar"/>
              </w:rPr>
              <w:t>.</w:t>
            </w: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903670"/>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13"/>
    <w:rsid w:val="00001716"/>
    <w:rsid w:val="00061C50"/>
    <w:rsid w:val="000F2BF9"/>
    <w:rsid w:val="001476A6"/>
    <w:rsid w:val="001E7D45"/>
    <w:rsid w:val="002B60D5"/>
    <w:rsid w:val="002D11D2"/>
    <w:rsid w:val="00301CF1"/>
    <w:rsid w:val="00413EBE"/>
    <w:rsid w:val="004272C2"/>
    <w:rsid w:val="00555708"/>
    <w:rsid w:val="005700BD"/>
    <w:rsid w:val="005A523F"/>
    <w:rsid w:val="00644D33"/>
    <w:rsid w:val="00663563"/>
    <w:rsid w:val="00692DB6"/>
    <w:rsid w:val="006B54A6"/>
    <w:rsid w:val="006C5143"/>
    <w:rsid w:val="006E468D"/>
    <w:rsid w:val="006F062C"/>
    <w:rsid w:val="006F4B00"/>
    <w:rsid w:val="00705332"/>
    <w:rsid w:val="007F31B8"/>
    <w:rsid w:val="007F3735"/>
    <w:rsid w:val="008A7DD0"/>
    <w:rsid w:val="00913B28"/>
    <w:rsid w:val="00A030A7"/>
    <w:rsid w:val="00A34F82"/>
    <w:rsid w:val="00A913A9"/>
    <w:rsid w:val="00B71BC2"/>
    <w:rsid w:val="00B939B4"/>
    <w:rsid w:val="00C16570"/>
    <w:rsid w:val="00C3064B"/>
    <w:rsid w:val="00C428D4"/>
    <w:rsid w:val="00C428DD"/>
    <w:rsid w:val="00CB2435"/>
    <w:rsid w:val="00CD723D"/>
    <w:rsid w:val="00CD7913"/>
    <w:rsid w:val="00D068C9"/>
    <w:rsid w:val="00D86F50"/>
    <w:rsid w:val="00DA5CFE"/>
    <w:rsid w:val="00DE3075"/>
    <w:rsid w:val="00E25FD1"/>
    <w:rsid w:val="00E97A94"/>
    <w:rsid w:val="00EB11FF"/>
    <w:rsid w:val="00EB1CAC"/>
    <w:rsid w:val="00EC7E62"/>
    <w:rsid w:val="00ED0876"/>
    <w:rsid w:val="00EF0088"/>
    <w:rsid w:val="00FD33D1"/>
    <w:rsid w:val="37FB9C13"/>
    <w:rsid w:val="3D77EE47"/>
    <w:rsid w:val="3DEB234F"/>
    <w:rsid w:val="3EBF3BFB"/>
    <w:rsid w:val="4C7731ED"/>
    <w:rsid w:val="4D7EB3BA"/>
    <w:rsid w:val="4EFBB916"/>
    <w:rsid w:val="5D3F87FF"/>
    <w:rsid w:val="69FF24BE"/>
    <w:rsid w:val="6D5B6D4A"/>
    <w:rsid w:val="6EFF6476"/>
    <w:rsid w:val="75D38638"/>
    <w:rsid w:val="77DEBAA7"/>
    <w:rsid w:val="7CAE2392"/>
    <w:rsid w:val="7CF19DD9"/>
    <w:rsid w:val="7DF74B50"/>
    <w:rsid w:val="7F7A6239"/>
    <w:rsid w:val="7FE75479"/>
    <w:rsid w:val="89BAA8FF"/>
    <w:rsid w:val="9C774D5B"/>
    <w:rsid w:val="AD392B20"/>
    <w:rsid w:val="AF91BF29"/>
    <w:rsid w:val="B1F5ABEF"/>
    <w:rsid w:val="B66B5BE3"/>
    <w:rsid w:val="BEA818D0"/>
    <w:rsid w:val="BFB7E8A6"/>
    <w:rsid w:val="BFCF6084"/>
    <w:rsid w:val="CEBABAD6"/>
    <w:rsid w:val="CEFFDEC7"/>
    <w:rsid w:val="CFB98B0C"/>
    <w:rsid w:val="DD2CFB11"/>
    <w:rsid w:val="DD9E25CA"/>
    <w:rsid w:val="ED7A3BEE"/>
    <w:rsid w:val="EF369474"/>
    <w:rsid w:val="EF7FC2CC"/>
    <w:rsid w:val="FB7D656F"/>
    <w:rsid w:val="FBF724CB"/>
    <w:rsid w:val="FFFFE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customStyle="1" w:styleId="8">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0E32E4C4-386A-49A3-A8A3-40860411B8B6}">
  <ds:schemaRefs/>
</ds:datastoreItem>
</file>

<file path=docProps/app.xml><?xml version="1.0" encoding="utf-8"?>
<Properties xmlns="http://schemas.openxmlformats.org/officeDocument/2006/extended-properties" xmlns:vt="http://schemas.openxmlformats.org/officeDocument/2006/docPropsVTypes">
  <Template>Normal</Template>
  <Pages>2</Pages>
  <Words>582</Words>
  <Characters>3098</Characters>
  <Lines>75</Lines>
  <Paragraphs>26</Paragraphs>
  <TotalTime>1</TotalTime>
  <ScaleCrop>false</ScaleCrop>
  <LinksUpToDate>false</LinksUpToDate>
  <CharactersWithSpaces>3654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2026-04-13T00:03:00Z</dcterms:created>
  <dc:creator>shfe</dc:creator>
  <cp:lastModifiedBy>zhang.hui</cp:lastModifiedBy>
  <dcterms:modified xsi:type="dcterms:W3CDTF">2026-06-10T11:18:36Z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BC889C2566BD64B0A2B40A6A24AEB298</vt:lpwstr>
  </property>
</Properties>
</file>