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方正大标宋简体" w:cs="Times New Roman"/>
        </w:rPr>
      </w:pPr>
      <w:r>
        <w:rPr>
          <w:rFonts w:ascii="Times New Roman" w:hAnsi="Times New Roman" w:eastAsia="方正大标宋简体" w:cs="Times New Roman"/>
        </w:rPr>
        <w:t xml:space="preserve">Appendix </w:t>
      </w:r>
      <w:r>
        <w:rPr>
          <w:rFonts w:hint="eastAsia" w:ascii="Times New Roman" w:hAnsi="Times New Roman" w:eastAsia="方正大标宋简体" w:cs="Times New Roman"/>
        </w:rPr>
        <w:t>1</w:t>
      </w:r>
    </w:p>
    <w:p>
      <w:pPr>
        <w:keepNext w:val="0"/>
        <w:keepLines w:val="0"/>
        <w:pageBreakBefore w:val="0"/>
        <w:widowControl w:val="0"/>
        <w:kinsoku/>
        <w:wordWrap/>
        <w:overflowPunct/>
        <w:topLinePunct w:val="0"/>
        <w:autoSpaceDE/>
        <w:autoSpaceDN/>
        <w:bidi w:val="0"/>
        <w:adjustRightInd/>
        <w:snapToGrid/>
        <w:spacing w:after="0" w:line="276" w:lineRule="auto"/>
        <w:jc w:val="center"/>
        <w:textAlignment w:val="auto"/>
        <w:rPr>
          <w:rFonts w:ascii="Times New Roman" w:hAnsi="Times New Roman" w:eastAsia="方正仿宋简体" w:cs="Times New Roman"/>
          <w:b/>
          <w:bCs/>
          <w:sz w:val="28"/>
          <w:szCs w:val="28"/>
        </w:rPr>
      </w:pPr>
      <w:r>
        <w:rPr>
          <w:rFonts w:hint="eastAsia" w:ascii="Times New Roman" w:hAnsi="Times New Roman" w:eastAsia="方正仿宋简体" w:cs="Times New Roman"/>
          <w:b/>
          <w:bCs/>
          <w:sz w:val="28"/>
          <w:szCs w:val="28"/>
        </w:rPr>
        <w:t>Comparative Table</w:t>
      </w:r>
    </w:p>
    <w:p>
      <w:pPr>
        <w:spacing w:after="156" w:afterLines="50" w:line="276" w:lineRule="auto"/>
        <w:ind w:firstLine="240" w:firstLineChars="100"/>
        <w:rPr>
          <w:rFonts w:ascii="Times New Roman" w:hAnsi="Times New Roman" w:cs="Times New Roman"/>
          <w:sz w:val="24"/>
        </w:rPr>
      </w:pPr>
      <w:r>
        <w:rPr>
          <w:rFonts w:ascii="Times New Roman" w:hAnsi="Times New Roman" w:cs="Times New Roman"/>
          <w:sz w:val="24"/>
        </w:rPr>
        <w:t>Note: Bolded sections in red are newly added and sections with double strikethroughs are deleted.</w:t>
      </w:r>
    </w:p>
    <w:tbl>
      <w:tblPr>
        <w:tblStyle w:val="16"/>
        <w:tblW w:w="14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0"/>
        <w:gridCol w:w="7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740" w:type="dxa"/>
            <w:gridSpan w:val="2"/>
            <w:shd w:val="clear" w:color="auto" w:fill="4472C4" w:themeFill="accent1"/>
            <w:vAlign w:val="center"/>
          </w:tcPr>
          <w:p>
            <w:pPr>
              <w:snapToGrid w:val="0"/>
              <w:spacing w:after="312" w:afterLines="100" w:line="276" w:lineRule="auto"/>
              <w:jc w:val="center"/>
              <w:rPr>
                <w:rFonts w:hint="default" w:ascii="Times New Roman" w:hAnsi="Times New Roman" w:eastAsia="宋体" w:cs="Times New Roman"/>
                <w:b/>
                <w:color w:val="FFFFFF" w:themeColor="background1"/>
                <w:kern w:val="0"/>
                <w:sz w:val="24"/>
                <w14:textFill>
                  <w14:solidFill>
                    <w14:schemeClr w14:val="bg1"/>
                  </w14:solidFill>
                </w14:textFill>
                <w14:ligatures w14:val="none"/>
              </w:rPr>
            </w:pPr>
            <w:r>
              <w:rPr>
                <w:rFonts w:hint="default" w:ascii="Times New Roman" w:hAnsi="Times New Roman" w:eastAsia="宋体" w:cs="Times New Roman"/>
                <w:b/>
                <w:color w:val="FFFFFF" w:themeColor="background1"/>
                <w:kern w:val="0"/>
                <w:sz w:val="24"/>
                <w14:textFill>
                  <w14:solidFill>
                    <w14:schemeClr w14:val="bg1"/>
                  </w14:solidFill>
                </w14:textFill>
                <w14:ligatures w14:val="none"/>
              </w:rPr>
              <w:t>Delivery Rules of the Shanghai International Energy Exchange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370" w:type="dxa"/>
            <w:shd w:val="clear" w:color="auto" w:fill="4472C4" w:themeFill="accent1"/>
            <w:vAlign w:val="center"/>
          </w:tcPr>
          <w:p>
            <w:pPr>
              <w:snapToGrid w:val="0"/>
              <w:spacing w:after="312" w:afterLines="100" w:line="276" w:lineRule="auto"/>
              <w:jc w:val="center"/>
              <w:rPr>
                <w:rFonts w:hint="default" w:ascii="Times New Roman" w:hAnsi="Times New Roman" w:eastAsia="宋体" w:cs="Times New Roman"/>
                <w:b/>
                <w:color w:val="FFFFFF" w:themeColor="background1"/>
                <w:kern w:val="0"/>
                <w:sz w:val="24"/>
                <w14:textFill>
                  <w14:solidFill>
                    <w14:schemeClr w14:val="bg1"/>
                  </w14:solidFill>
                </w14:textFill>
                <w14:ligatures w14:val="none"/>
              </w:rPr>
            </w:pPr>
            <w:r>
              <w:rPr>
                <w:rFonts w:hint="default" w:ascii="Times New Roman" w:hAnsi="Times New Roman" w:eastAsia="宋体" w:cs="Times New Roman"/>
                <w:b/>
                <w:color w:val="FFFFFF" w:themeColor="background1"/>
                <w:kern w:val="0"/>
                <w:sz w:val="24"/>
                <w14:textFill>
                  <w14:solidFill>
                    <w14:schemeClr w14:val="bg1"/>
                  </w14:solidFill>
                </w14:textFill>
                <w14:ligatures w14:val="none"/>
              </w:rPr>
              <w:t>Revised Version</w:t>
            </w:r>
          </w:p>
        </w:tc>
        <w:tc>
          <w:tcPr>
            <w:tcW w:w="7370" w:type="dxa"/>
            <w:shd w:val="clear" w:color="auto" w:fill="4472C4" w:themeFill="accent1"/>
            <w:vAlign w:val="center"/>
          </w:tcPr>
          <w:p>
            <w:pPr>
              <w:snapToGrid w:val="0"/>
              <w:spacing w:after="312" w:afterLines="100" w:line="276" w:lineRule="auto"/>
              <w:jc w:val="center"/>
              <w:rPr>
                <w:rFonts w:hint="default" w:ascii="Times New Roman" w:hAnsi="Times New Roman" w:eastAsia="宋体" w:cs="Times New Roman"/>
                <w:b/>
                <w:color w:val="FFFFFF" w:themeColor="background1"/>
                <w:kern w:val="0"/>
                <w:sz w:val="24"/>
                <w14:textFill>
                  <w14:solidFill>
                    <w14:schemeClr w14:val="bg1"/>
                  </w14:solidFill>
                </w14:textFill>
                <w14:ligatures w14:val="none"/>
              </w:rPr>
            </w:pPr>
            <w:r>
              <w:rPr>
                <w:rFonts w:hint="default" w:ascii="Times New Roman" w:hAnsi="Times New Roman" w:eastAsia="宋体" w:cs="Times New Roman"/>
                <w:b/>
                <w:color w:val="FFFFFF" w:themeColor="background1"/>
                <w:kern w:val="0"/>
                <w:sz w:val="24"/>
                <w14:textFill>
                  <w14:solidFill>
                    <w14:schemeClr w14:val="bg1"/>
                  </w14:solidFill>
                </w14:textFill>
                <w14:ligatures w14:val="none"/>
              </w:rPr>
              <w:t>Current Version (Effective February 9, 2026)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tcPr>
          <w:p>
            <w:pPr>
              <w:snapToGrid w:val="0"/>
              <w:spacing w:after="312" w:afterLines="100" w:line="276" w:lineRule="auto"/>
              <w:jc w:val="center"/>
              <w:rPr>
                <w:rFonts w:hint="default" w:ascii="Times New Roman" w:hAnsi="Times New Roman" w:eastAsia="宋体" w:cs="Times New Roman"/>
                <w:b/>
                <w:bCs/>
                <w:kern w:val="0"/>
                <w:sz w:val="24"/>
                <w14:ligatures w14:val="none"/>
              </w:rPr>
            </w:pPr>
            <w:r>
              <w:rPr>
                <w:rFonts w:hint="default" w:ascii="Times New Roman" w:hAnsi="Times New Roman" w:eastAsia="宋体" w:cs="Times New Roman"/>
                <w:b/>
                <w:bCs/>
                <w:kern w:val="0"/>
                <w:sz w:val="24"/>
                <w14:ligatures w14:val="none"/>
              </w:rPr>
              <w:t>Chapter 1</w:t>
            </w:r>
            <w:r>
              <w:rPr>
                <w:rFonts w:hint="default" w:ascii="Times New Roman" w:hAnsi="Times New Roman" w:eastAsia="宋体" w:cs="Times New Roman"/>
                <w:b/>
                <w:bCs/>
                <w:kern w:val="0"/>
                <w:sz w:val="24"/>
                <w14:ligatures w14:val="none"/>
              </w:rPr>
              <w:tab/>
            </w:r>
            <w:r>
              <w:rPr>
                <w:rFonts w:hint="default" w:ascii="Times New Roman" w:hAnsi="Times New Roman" w:eastAsia="宋体" w:cs="Times New Roman"/>
                <w:b/>
                <w:bCs/>
                <w:kern w:val="0"/>
                <w:sz w:val="24"/>
                <w14:ligatures w14:val="none"/>
              </w:rPr>
              <w:t>General Provisions</w:t>
            </w:r>
          </w:p>
        </w:tc>
        <w:tc>
          <w:tcPr>
            <w:tcW w:w="7370" w:type="dxa"/>
          </w:tcPr>
          <w:p>
            <w:pPr>
              <w:snapToGrid w:val="0"/>
              <w:spacing w:after="312" w:afterLines="100" w:line="276" w:lineRule="auto"/>
              <w:jc w:val="center"/>
              <w:rPr>
                <w:rFonts w:hint="default" w:ascii="Times New Roman" w:hAnsi="Times New Roman" w:eastAsia="宋体" w:cs="Times New Roman"/>
                <w:b/>
                <w:bCs/>
                <w:kern w:val="0"/>
                <w:sz w:val="24"/>
                <w14:ligatures w14:val="none"/>
              </w:rPr>
            </w:pPr>
            <w:r>
              <w:rPr>
                <w:rFonts w:hint="default" w:ascii="Times New Roman" w:hAnsi="Times New Roman" w:eastAsia="宋体" w:cs="Times New Roman"/>
                <w:b/>
                <w:bCs/>
                <w:kern w:val="0"/>
                <w:sz w:val="24"/>
                <w14:ligatures w14:val="none"/>
              </w:rPr>
              <w:t>Chapter 1</w:t>
            </w:r>
            <w:r>
              <w:rPr>
                <w:rFonts w:hint="default" w:ascii="Times New Roman" w:hAnsi="Times New Roman" w:eastAsia="宋体" w:cs="Times New Roman"/>
                <w:b/>
                <w:bCs/>
                <w:kern w:val="0"/>
                <w:sz w:val="24"/>
                <w14:ligatures w14:val="none"/>
              </w:rPr>
              <w:tab/>
            </w:r>
            <w:r>
              <w:rPr>
                <w:rFonts w:hint="default" w:ascii="Times New Roman" w:hAnsi="Times New Roman" w:eastAsia="宋体" w:cs="Times New Roman"/>
                <w:b/>
                <w:bCs/>
                <w:kern w:val="0"/>
                <w:sz w:val="24"/>
                <w14:ligatures w14:val="none"/>
              </w:rPr>
              <w:t>General Provisions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70" w:type="dxa"/>
          </w:tcPr>
          <w:p>
            <w:pPr>
              <w:snapToGrid w:val="0"/>
              <w:spacing w:after="312" w:afterLines="100" w:line="276" w:lineRule="auto"/>
              <w:jc w:val="both"/>
              <w:rPr>
                <w:rFonts w:hint="default" w:ascii="Times New Roman" w:hAnsi="Times New Roman" w:eastAsia="宋体" w:cs="Times New Roman"/>
                <w:kern w:val="0"/>
                <w:sz w:val="24"/>
                <w:szCs w:val="20"/>
                <w14:ligatures w14:val="none"/>
              </w:rPr>
            </w:pPr>
            <w:r>
              <w:rPr>
                <w:rFonts w:hint="default" w:ascii="Times New Roman" w:hAnsi="Times New Roman" w:eastAsia="宋体" w:cs="Times New Roman"/>
                <w:b/>
                <w:kern w:val="0"/>
                <w:sz w:val="24"/>
                <w:szCs w:val="20"/>
                <w14:ligatures w14:val="none"/>
              </w:rPr>
              <w:t>Article 5</w:t>
            </w:r>
            <w:r>
              <w:rPr>
                <w:rFonts w:hint="default" w:ascii="Times New Roman" w:hAnsi="Times New Roman" w:eastAsia="宋体" w:cs="Times New Roman"/>
                <w:kern w:val="0"/>
                <w:sz w:val="24"/>
                <w:szCs w:val="20"/>
                <w14:ligatures w14:val="none"/>
              </w:rPr>
              <w:tab/>
            </w:r>
            <w:r>
              <w:rPr>
                <w:rFonts w:hint="default" w:ascii="Times New Roman" w:hAnsi="Times New Roman" w:eastAsia="宋体" w:cs="Times New Roman"/>
                <w:b/>
                <w:bCs/>
                <w:color w:val="EE0000"/>
                <w:kern w:val="0"/>
                <w:sz w:val="24"/>
                <w:szCs w:val="20"/>
                <w14:ligatures w14:val="none"/>
              </w:rPr>
              <w:t>Physical delivery of a futures contract may be categorized into domestic delivery or overseas delivery based on the region of the delivery venue.</w:t>
            </w:r>
            <w:r>
              <w:rPr>
                <w:rFonts w:hint="default" w:ascii="Times New Roman" w:hAnsi="Times New Roman" w:eastAsia="宋体" w:cs="Times New Roman"/>
                <w:kern w:val="0"/>
                <w:sz w:val="24"/>
                <w:szCs w:val="20"/>
                <w14:ligatures w14:val="none"/>
              </w:rPr>
              <w:t xml:space="preserve"> </w:t>
            </w:r>
            <w:r>
              <w:rPr>
                <w:rFonts w:hint="default" w:ascii="Times New Roman" w:hAnsi="Times New Roman" w:eastAsia="宋体" w:cs="Times New Roman"/>
                <w:b/>
                <w:bCs/>
                <w:color w:val="EE0000"/>
                <w:kern w:val="0"/>
                <w:sz w:val="24"/>
                <w:szCs w:val="20"/>
                <w14:ligatures w14:val="none"/>
              </w:rPr>
              <w:t>Domestic</w:t>
            </w:r>
            <w:r>
              <w:rPr>
                <w:rFonts w:hint="default" w:ascii="Times New Roman" w:hAnsi="Times New Roman" w:eastAsia="宋体" w:cs="Times New Roman"/>
                <w:kern w:val="0"/>
                <w:sz w:val="24"/>
                <w:szCs w:val="20"/>
                <w14:ligatures w14:val="none"/>
              </w:rPr>
              <w:t xml:space="preserve"> physical delivery of a futures contract is further divided into bonded delivery and duty-paid delivery based on different duty payment statuses of the delivery commodities. Bonded delivery means the physical delivery of the underlying commodity of a futures contract in bonded status within the Customs Special Supervision Areas or the Bonded Supervision Premises. Duty-paid delivery means that the physical delivery of the underlying commodity has been cleared through the customs and its taxes such as the customs duties and VATs have been paid.</w:t>
            </w:r>
            <w:r>
              <w:rPr>
                <w:rFonts w:hint="default" w:ascii="Times New Roman" w:hAnsi="Times New Roman" w:eastAsia="宋体" w:cs="Times New Roman"/>
                <w:b/>
                <w:bCs/>
                <w:color w:val="EE0000"/>
                <w:kern w:val="0"/>
                <w:sz w:val="24"/>
                <w:szCs w:val="20"/>
                <w14:ligatures w14:val="none"/>
              </w:rPr>
              <w:t xml:space="preserve"> Overseas delivery means the physical delivery of the underlying commodity of a futures contract that does not actually enter or exit China’s customs territory and is not included in China’s customs merchandise trade statistics.</w:t>
            </w:r>
          </w:p>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kern w:val="0"/>
                <w:sz w:val="24"/>
                <w:szCs w:val="20"/>
                <w14:ligatures w14:val="none"/>
              </w:rPr>
              <w:t>The physical delivery of the futures contract is divided into warehouse delivery, factory delivery and other delivery methods based on different natures of the delivery venues. Warehouse delivery is a process of physical delivery where the buyer and the seller perform delivery in accordance with the required procedures by transferring the ownership of warehouse standard warrants. Factory delivery is a process of physical delivery where the buyer and the seller perform delivery in accordance with the required procedures by transferring the ownership of factory standard warrants.</w:t>
            </w:r>
          </w:p>
        </w:tc>
        <w:tc>
          <w:tcPr>
            <w:tcW w:w="7370" w:type="dxa"/>
          </w:tcPr>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b/>
                <w:bCs/>
                <w:kern w:val="0"/>
                <w:sz w:val="24"/>
                <w14:ligatures w14:val="none"/>
              </w:rPr>
              <w:t>Article 5</w:t>
            </w:r>
            <w:r>
              <w:rPr>
                <w:rFonts w:hint="default" w:ascii="Times New Roman" w:hAnsi="Times New Roman" w:eastAsia="宋体" w:cs="Times New Roman"/>
                <w:b/>
                <w:bCs/>
                <w:kern w:val="0"/>
                <w:sz w:val="24"/>
                <w14:ligatures w14:val="none"/>
              </w:rPr>
              <w:tab/>
            </w:r>
            <w:r>
              <w:rPr>
                <w:rFonts w:hint="default" w:ascii="Times New Roman" w:hAnsi="Times New Roman" w:eastAsia="宋体" w:cs="Times New Roman"/>
                <w:kern w:val="0"/>
                <w:sz w:val="24"/>
                <w14:ligatures w14:val="none"/>
              </w:rPr>
              <w:t>The physical delivery of a futures contract is divided into bonded delivery and duty-paid delivery based on different duty payment statuses of the delivery commodities. Bonded delivery means the physical delivery of the underlying commodity of a futures contract in bonded status within the Customs Special Supervision Areas or the Bonded Supervision Premises. Duty-paid delivery means that the physical delivery of the underlying commodity has been cleared through the customs and its taxes such as the customs duties and VATs have been paid.</w:t>
            </w:r>
          </w:p>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kern w:val="0"/>
                <w:sz w:val="24"/>
                <w14:ligatures w14:val="none"/>
              </w:rPr>
              <w:t>The physical delivery of the futures contract is divided into warehouse delivery, factory delivery and other delivery methods based on different natures of the delivery venues. Warehouse delivery is a process of physical delivery where the buyer and the seller perform delivery in accordance with the required procedures by transferring the ownership of warehouse standard warrants. Factory delivery is a process of physical delivery where the buyer and the seller perform delivery in accordance with the required procedures by transferring the ownership of factory standard warrants.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tcPr>
          <w:p>
            <w:pPr>
              <w:snapToGrid w:val="0"/>
              <w:spacing w:after="312" w:afterLines="100" w:line="276" w:lineRule="auto"/>
              <w:jc w:val="both"/>
              <w:rPr>
                <w:rFonts w:hint="default" w:ascii="Times New Roman" w:hAnsi="Times New Roman" w:eastAsia="宋体" w:cs="Times New Roman"/>
                <w:kern w:val="0"/>
                <w:sz w:val="24"/>
                <w:szCs w:val="20"/>
                <w14:ligatures w14:val="none"/>
              </w:rPr>
            </w:pPr>
            <w:r>
              <w:rPr>
                <w:rFonts w:hint="default" w:ascii="Times New Roman" w:hAnsi="Times New Roman" w:eastAsia="宋体" w:cs="Times New Roman"/>
                <w:b/>
                <w:kern w:val="0"/>
                <w:sz w:val="24"/>
                <w:szCs w:val="20"/>
                <w14:ligatures w14:val="none"/>
              </w:rPr>
              <w:t>Article 6</w:t>
            </w:r>
            <w:r>
              <w:rPr>
                <w:rFonts w:hint="default" w:ascii="Times New Roman" w:hAnsi="Times New Roman" w:eastAsia="宋体" w:cs="Times New Roman"/>
                <w:kern w:val="0"/>
                <w:sz w:val="24"/>
                <w:szCs w:val="20"/>
                <w14:ligatures w14:val="none"/>
              </w:rPr>
              <w:tab/>
            </w:r>
            <w:r>
              <w:rPr>
                <w:rFonts w:hint="default" w:ascii="Times New Roman" w:hAnsi="Times New Roman" w:eastAsia="宋体" w:cs="Times New Roman"/>
                <w:kern w:val="0"/>
                <w:sz w:val="24"/>
                <w:szCs w:val="20"/>
                <w14:ligatures w14:val="none"/>
              </w:rPr>
              <w:t>The Designated Delivery Storage Facilities include the warehouses and the factories. Warehouse refers to a facility of a licensed commodity storage enterprise which has been approved and designated by the Exchange for the physical delivery of a commodity futures contract. Factory refers to a facility of an entity such as a producer, a trading company, which has been approved and designated by the Exchange for the physical delivery of a commodity futures contract.</w:t>
            </w:r>
          </w:p>
          <w:p>
            <w:pPr>
              <w:snapToGrid w:val="0"/>
              <w:spacing w:after="312" w:afterLines="100" w:line="276" w:lineRule="auto"/>
              <w:jc w:val="both"/>
              <w:rPr>
                <w:rFonts w:hint="default" w:ascii="Times New Roman" w:hAnsi="Times New Roman" w:eastAsia="宋体" w:cs="Times New Roman"/>
                <w:b/>
                <w:bCs/>
                <w:color w:val="EE0000"/>
                <w:kern w:val="0"/>
                <w:sz w:val="24"/>
                <w:szCs w:val="20"/>
                <w14:ligatures w14:val="none"/>
              </w:rPr>
            </w:pPr>
            <w:r>
              <w:rPr>
                <w:rFonts w:hint="default" w:ascii="Times New Roman" w:hAnsi="Times New Roman" w:eastAsia="宋体" w:cs="Times New Roman"/>
                <w:b/>
                <w:bCs/>
                <w:color w:val="EE0000"/>
                <w:kern w:val="0"/>
                <w:sz w:val="24"/>
                <w:szCs w:val="20"/>
                <w14:ligatures w14:val="none"/>
              </w:rPr>
              <w:t>Designated Delivery Storage Facilities are categorized as domestic Designated Delivery Storage Facilities and overseas Designated Delivery Storage Facilities based on the region where the physical delivery of the futures contract takes place.</w:t>
            </w:r>
          </w:p>
          <w:p>
            <w:pPr>
              <w:snapToGrid w:val="0"/>
              <w:spacing w:after="312" w:afterLines="100" w:line="276" w:lineRule="auto"/>
              <w:jc w:val="both"/>
              <w:rPr>
                <w:rFonts w:hint="default" w:ascii="Times New Roman" w:hAnsi="Times New Roman" w:eastAsia="宋体" w:cs="Times New Roman"/>
                <w:kern w:val="0"/>
                <w:sz w:val="24"/>
                <w:szCs w:val="20"/>
                <w14:ligatures w14:val="none"/>
              </w:rPr>
            </w:pPr>
            <w:r>
              <w:rPr>
                <w:rFonts w:hint="default" w:ascii="Times New Roman" w:hAnsi="Times New Roman" w:eastAsia="宋体" w:cs="Times New Roman"/>
                <w:kern w:val="0"/>
                <w:sz w:val="24"/>
                <w:szCs w:val="20"/>
                <w14:ligatures w14:val="none"/>
              </w:rPr>
              <w:t>Upon approval of the Exchange, one or more Designated Delivery Storage Facilities and their associates may provide group delivery business such as standard warrants and inter-city delivery for a futures commodity through group management, operation, and cooperation. The specifics of group delivery business will be separately stipulated by the Exchange.</w:t>
            </w:r>
          </w:p>
          <w:p>
            <w:pPr>
              <w:snapToGrid w:val="0"/>
              <w:spacing w:after="312" w:afterLines="100" w:line="276" w:lineRule="auto"/>
              <w:jc w:val="both"/>
              <w:rPr>
                <w:rFonts w:hint="default" w:ascii="Times New Roman" w:hAnsi="Times New Roman" w:eastAsia="宋体" w:cs="Times New Roman"/>
                <w:b/>
                <w:bCs/>
                <w:kern w:val="0"/>
                <w:sz w:val="24"/>
                <w14:ligatures w14:val="none"/>
              </w:rPr>
            </w:pPr>
            <w:r>
              <w:rPr>
                <w:rFonts w:hint="default" w:ascii="Times New Roman" w:hAnsi="Times New Roman" w:eastAsia="宋体" w:cs="Times New Roman"/>
                <w:kern w:val="0"/>
                <w:sz w:val="24"/>
                <w:szCs w:val="20"/>
                <w14:ligatures w14:val="none"/>
              </w:rPr>
              <w:t>The Designated Delivery Storage Facilities shall be announced separately upon the verification and approval of the Exchange.</w:t>
            </w:r>
          </w:p>
        </w:tc>
        <w:tc>
          <w:tcPr>
            <w:tcW w:w="7370" w:type="dxa"/>
          </w:tcPr>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b/>
                <w:bCs/>
                <w:kern w:val="0"/>
                <w:sz w:val="24"/>
                <w14:ligatures w14:val="none"/>
              </w:rPr>
              <w:t>Article 6</w:t>
            </w:r>
            <w:r>
              <w:rPr>
                <w:rFonts w:hint="default" w:ascii="Times New Roman" w:hAnsi="Times New Roman" w:eastAsia="宋体" w:cs="Times New Roman"/>
                <w:b/>
                <w:bCs/>
                <w:kern w:val="0"/>
                <w:sz w:val="24"/>
                <w14:ligatures w14:val="none"/>
              </w:rPr>
              <w:tab/>
            </w:r>
            <w:r>
              <w:rPr>
                <w:rFonts w:hint="default" w:ascii="Times New Roman" w:hAnsi="Times New Roman" w:eastAsia="宋体" w:cs="Times New Roman"/>
                <w:kern w:val="0"/>
                <w:sz w:val="24"/>
                <w14:ligatures w14:val="none"/>
              </w:rPr>
              <w:t>The Designated Delivery Storage Facilities include the warehouses and the factories. Warehouse refers to a facility of a licensed commodity storage enterprise which has been approved and designated by the Exchange for the physical delivery of a commodity futures contract. Factory refers to a facility of an entity such as a producer, a trading company, which has been approved and designated by the Exchange for the physical delivery of a commodity futures contract.</w:t>
            </w:r>
          </w:p>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kern w:val="0"/>
                <w:sz w:val="24"/>
                <w14:ligatures w14:val="none"/>
              </w:rPr>
              <w:t>Upon approval of the Exchange, one or more Designated Delivery Storage Facilities and their associates may provide group delivery business such as standard warrants and inter-city delivery for a futures commodity through group management, operation, and cooperation. The specifics of group delivery business will be separately stipulated by the Exchange.</w:t>
            </w:r>
          </w:p>
          <w:p>
            <w:pPr>
              <w:snapToGrid w:val="0"/>
              <w:spacing w:after="312" w:afterLines="100" w:line="276" w:lineRule="auto"/>
              <w:jc w:val="both"/>
              <w:rPr>
                <w:rFonts w:hint="default" w:ascii="Times New Roman" w:hAnsi="Times New Roman" w:eastAsia="宋体" w:cs="Times New Roman"/>
                <w:b/>
                <w:bCs/>
                <w:kern w:val="0"/>
                <w:sz w:val="24"/>
                <w14:ligatures w14:val="none"/>
              </w:rPr>
            </w:pPr>
            <w:r>
              <w:rPr>
                <w:rFonts w:hint="default" w:ascii="Times New Roman" w:hAnsi="Times New Roman" w:eastAsia="宋体" w:cs="Times New Roman"/>
                <w:kern w:val="0"/>
                <w:sz w:val="24"/>
                <w14:ligatures w14:val="none"/>
              </w:rPr>
              <w:t>The Designated Delivery Storage Facilities shall be announced separately upon the verification and approval of the Exchange.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tcPr>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等线" w:cs="Times New Roman"/>
                <w:b/>
                <w:kern w:val="0"/>
                <w:sz w:val="24"/>
              </w:rPr>
              <w:t>Article 7</w:t>
            </w:r>
            <w:r>
              <w:rPr>
                <w:rFonts w:hint="default" w:ascii="Times New Roman" w:hAnsi="Times New Roman" w:eastAsia="等线" w:cs="Times New Roman"/>
                <w:kern w:val="0"/>
                <w:sz w:val="24"/>
              </w:rPr>
              <w:tab/>
            </w:r>
            <w:r>
              <w:rPr>
                <w:rFonts w:hint="default" w:ascii="Times New Roman" w:hAnsi="Times New Roman" w:eastAsia="等线" w:cs="Times New Roman"/>
                <w:kern w:val="0"/>
                <w:sz w:val="24"/>
              </w:rPr>
              <w:t>Standard warrant refers to the receipt entitling the holder thereof to take delivery of the physical commodity issued by the Designated Delivery Storage Facility in accordance with the procedures prescribed by the Exchange, and generated in the Standard Warrant Management System of the Exchange. Other receipts entitling physical delivery except the standard warrants are classified as non-standard warrants.</w:t>
            </w:r>
          </w:p>
          <w:p>
            <w:pPr>
              <w:snapToGrid w:val="0"/>
              <w:spacing w:after="312" w:afterLines="100" w:line="276" w:lineRule="auto"/>
              <w:jc w:val="both"/>
              <w:rPr>
                <w:rFonts w:hint="default" w:ascii="Times New Roman" w:hAnsi="Times New Roman" w:eastAsia="宋体" w:cs="Times New Roman"/>
                <w:b/>
                <w:bCs/>
                <w:color w:val="EE0000"/>
                <w:kern w:val="0"/>
                <w:sz w:val="24"/>
                <w14:ligatures w14:val="none"/>
              </w:rPr>
            </w:pPr>
            <w:r>
              <w:rPr>
                <w:rFonts w:hint="default" w:ascii="Times New Roman" w:hAnsi="Times New Roman" w:eastAsia="宋体" w:cs="Times New Roman"/>
                <w:b/>
                <w:bCs/>
                <w:color w:val="EE0000"/>
                <w:kern w:val="0"/>
                <w:sz w:val="24"/>
                <w:szCs w:val="20"/>
                <w14:ligatures w14:val="none"/>
              </w:rPr>
              <w:t>Standard warrant is divided into domestic standard warrant and overseas standard warrant based on the region where the corresponding commodity is located.</w:t>
            </w:r>
          </w:p>
          <w:p>
            <w:pPr>
              <w:tabs>
                <w:tab w:val="left" w:pos="0"/>
                <w:tab w:val="left" w:pos="709"/>
              </w:tabs>
              <w:snapToGrid w:val="0"/>
              <w:spacing w:after="312" w:afterLines="100" w:line="276" w:lineRule="auto"/>
              <w:jc w:val="both"/>
              <w:rPr>
                <w:rFonts w:hint="default" w:ascii="Times New Roman" w:hAnsi="Times New Roman" w:eastAsia="宋体" w:cs="Times New Roman"/>
                <w:bCs/>
                <w:kern w:val="0"/>
                <w:sz w:val="24"/>
                <w14:ligatures w14:val="none"/>
              </w:rPr>
            </w:pPr>
            <w:r>
              <w:rPr>
                <w:rFonts w:hint="default" w:ascii="Times New Roman" w:hAnsi="Times New Roman" w:eastAsia="宋体" w:cs="Times New Roman"/>
                <w:b/>
                <w:bCs/>
                <w:color w:val="EE0000"/>
                <w:kern w:val="0"/>
                <w:sz w:val="24"/>
                <w:szCs w:val="20"/>
                <w14:ligatures w14:val="none"/>
              </w:rPr>
              <w:t>Domestic</w:t>
            </w:r>
            <w:r>
              <w:rPr>
                <w:rFonts w:hint="default" w:ascii="Times New Roman" w:hAnsi="Times New Roman" w:eastAsia="宋体" w:cs="Times New Roman"/>
                <w:bCs/>
                <w:kern w:val="0"/>
                <w:sz w:val="24"/>
                <w14:ligatures w14:val="none"/>
              </w:rPr>
              <w:t xml:space="preserve"> </w:t>
            </w:r>
            <w:r>
              <w:rPr>
                <w:rFonts w:hint="default" w:ascii="Times New Roman" w:hAnsi="Times New Roman" w:eastAsia="宋体" w:cs="Times New Roman"/>
                <w:bCs/>
                <w:dstrike/>
                <w:kern w:val="0"/>
                <w:sz w:val="24"/>
                <w14:ligatures w14:val="none"/>
              </w:rPr>
              <w:t>S</w:t>
            </w:r>
            <w:r>
              <w:rPr>
                <w:rFonts w:hint="default" w:ascii="Times New Roman" w:hAnsi="Times New Roman" w:eastAsia="宋体" w:cs="Times New Roman"/>
                <w:bCs/>
                <w:kern w:val="0"/>
                <w:sz w:val="24"/>
                <w14:ligatures w14:val="none"/>
              </w:rPr>
              <w:t xml:space="preserve">standard warrant is divided into the bonded standard warrant and duty-paid standard warrant based on different duty payment statuses of the </w:t>
            </w:r>
            <w:r>
              <w:rPr>
                <w:rFonts w:hint="default" w:ascii="Times New Roman" w:hAnsi="Times New Roman" w:eastAsia="宋体" w:cs="Times New Roman"/>
                <w:b/>
                <w:bCs/>
                <w:color w:val="EE0000"/>
                <w:kern w:val="0"/>
                <w:sz w:val="24"/>
                <w:szCs w:val="20"/>
                <w14:ligatures w14:val="none"/>
              </w:rPr>
              <w:t>corresponding</w:t>
            </w:r>
            <w:r>
              <w:rPr>
                <w:rFonts w:hint="default" w:ascii="Times New Roman" w:hAnsi="Times New Roman" w:eastAsia="宋体" w:cs="Times New Roman"/>
                <w:kern w:val="0"/>
                <w:sz w:val="24"/>
                <w:szCs w:val="20"/>
                <w14:ligatures w14:val="none"/>
              </w:rPr>
              <w:t xml:space="preserve"> </w:t>
            </w:r>
            <w:r>
              <w:rPr>
                <w:rFonts w:hint="default" w:ascii="Times New Roman" w:hAnsi="Times New Roman" w:eastAsia="宋体" w:cs="Times New Roman"/>
                <w:bCs/>
                <w:dstrike/>
                <w:kern w:val="0"/>
                <w:sz w:val="24"/>
                <w14:ligatures w14:val="none"/>
              </w:rPr>
              <w:t>futures</w:t>
            </w:r>
            <w:r>
              <w:rPr>
                <w:rFonts w:hint="default" w:ascii="Times New Roman" w:hAnsi="Times New Roman" w:eastAsia="宋体" w:cs="Times New Roman"/>
                <w:bCs/>
                <w:kern w:val="0"/>
                <w:sz w:val="24"/>
                <w14:ligatures w14:val="none"/>
              </w:rPr>
              <w:t xml:space="preserve"> commodities.</w:t>
            </w:r>
          </w:p>
          <w:p>
            <w:pPr>
              <w:tabs>
                <w:tab w:val="left" w:pos="0"/>
                <w:tab w:val="left" w:pos="709"/>
              </w:tabs>
              <w:snapToGrid w:val="0"/>
              <w:spacing w:after="312" w:afterLines="100" w:line="276" w:lineRule="auto"/>
              <w:jc w:val="both"/>
              <w:rPr>
                <w:rFonts w:hint="default" w:ascii="Times New Roman" w:hAnsi="Times New Roman" w:eastAsia="宋体" w:cs="Times New Roman"/>
                <w:bCs/>
                <w:kern w:val="0"/>
                <w:sz w:val="24"/>
                <w14:ligatures w14:val="none"/>
              </w:rPr>
            </w:pPr>
            <w:r>
              <w:rPr>
                <w:rFonts w:hint="default" w:ascii="Times New Roman" w:hAnsi="Times New Roman" w:eastAsia="等线" w:cs="Times New Roman"/>
                <w:kern w:val="0"/>
                <w:sz w:val="24"/>
              </w:rPr>
              <w:t>Standard warrant is divided into warehouse standard warrant and factory standard warrant based on the nature of a Designated Delivery Storage Facility</w:t>
            </w:r>
            <w:r>
              <w:rPr>
                <w:rFonts w:hint="default" w:ascii="Times New Roman" w:hAnsi="Times New Roman" w:eastAsia="宋体" w:cs="Times New Roman"/>
                <w:kern w:val="0"/>
                <w:sz w:val="24"/>
                <w14:ligatures w14:val="none"/>
              </w:rPr>
              <w:t>.</w:t>
            </w:r>
          </w:p>
        </w:tc>
        <w:tc>
          <w:tcPr>
            <w:tcW w:w="7370" w:type="dxa"/>
          </w:tcPr>
          <w:p>
            <w:pPr>
              <w:tabs>
                <w:tab w:val="left" w:pos="0"/>
                <w:tab w:val="left" w:pos="709"/>
              </w:tabs>
              <w:snapToGrid w:val="0"/>
              <w:spacing w:after="312" w:afterLines="100" w:line="276" w:lineRule="auto"/>
              <w:jc w:val="both"/>
              <w:rPr>
                <w:rFonts w:hint="default" w:ascii="Times New Roman" w:hAnsi="Times New Roman" w:eastAsia="宋体" w:cs="Times New Roman"/>
                <w:bCs/>
                <w:kern w:val="0"/>
                <w:sz w:val="24"/>
                <w14:ligatures w14:val="none"/>
              </w:rPr>
            </w:pPr>
            <w:r>
              <w:rPr>
                <w:rFonts w:hint="default" w:ascii="Times New Roman" w:hAnsi="Times New Roman" w:eastAsia="宋体" w:cs="Times New Roman"/>
                <w:b/>
                <w:kern w:val="0"/>
                <w:sz w:val="24"/>
                <w14:ligatures w14:val="none"/>
              </w:rPr>
              <w:t>Article 7</w:t>
            </w:r>
            <w:r>
              <w:rPr>
                <w:rFonts w:hint="default" w:ascii="Times New Roman" w:hAnsi="Times New Roman" w:eastAsia="宋体" w:cs="Times New Roman"/>
                <w:b/>
                <w:kern w:val="0"/>
                <w:sz w:val="24"/>
                <w14:ligatures w14:val="none"/>
              </w:rPr>
              <w:tab/>
            </w:r>
            <w:r>
              <w:rPr>
                <w:rFonts w:hint="default" w:ascii="Times New Roman" w:hAnsi="Times New Roman" w:eastAsia="宋体" w:cs="Times New Roman"/>
                <w:bCs/>
                <w:kern w:val="0"/>
                <w:sz w:val="24"/>
                <w14:ligatures w14:val="none"/>
              </w:rPr>
              <w:t>Standard warrant refers to the receipt entitling the holder thereof to take delivery of the physical commodity issued by the Designated Delivery Storage Facility in accordance with the procedures prescribed by the Exchange, and generated in the Standard Warrant Management System of the Exchange. Other receipts entitling physical delivery except the standard warrants are classified as non-standard warrants.</w:t>
            </w:r>
          </w:p>
          <w:p>
            <w:pPr>
              <w:tabs>
                <w:tab w:val="left" w:pos="0"/>
                <w:tab w:val="left" w:pos="709"/>
              </w:tabs>
              <w:snapToGrid w:val="0"/>
              <w:spacing w:after="312" w:afterLines="100" w:line="276" w:lineRule="auto"/>
              <w:jc w:val="both"/>
              <w:rPr>
                <w:rFonts w:hint="default" w:ascii="Times New Roman" w:hAnsi="Times New Roman" w:eastAsia="宋体" w:cs="Times New Roman"/>
                <w:bCs/>
                <w:kern w:val="0"/>
                <w:sz w:val="24"/>
                <w14:ligatures w14:val="none"/>
              </w:rPr>
            </w:pPr>
            <w:r>
              <w:rPr>
                <w:rFonts w:hint="default" w:ascii="Times New Roman" w:hAnsi="Times New Roman" w:eastAsia="宋体" w:cs="Times New Roman"/>
                <w:bCs/>
                <w:kern w:val="0"/>
                <w:sz w:val="24"/>
                <w14:ligatures w14:val="none"/>
              </w:rPr>
              <w:t>Standard warrant is divided into the bonded standard warrant and duty-paid standard warrant based on different duty payment statuses of the futures commodities.</w:t>
            </w:r>
          </w:p>
          <w:p>
            <w:pPr>
              <w:tabs>
                <w:tab w:val="left" w:pos="0"/>
                <w:tab w:val="left" w:pos="709"/>
              </w:tabs>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bCs/>
                <w:kern w:val="0"/>
                <w:sz w:val="24"/>
                <w14:ligatures w14:val="none"/>
              </w:rPr>
              <w:t xml:space="preserve">Standard warrant is divided into warehouse standard warrant and factory standard warrant based </w:t>
            </w:r>
            <w:r>
              <w:rPr>
                <w:rFonts w:hint="default" w:ascii="Times New Roman" w:hAnsi="Times New Roman" w:eastAsia="等线" w:cs="Times New Roman"/>
                <w:kern w:val="0"/>
                <w:sz w:val="24"/>
              </w:rPr>
              <w:t>on the nature of a Designated Delivery Storage Facility</w:t>
            </w:r>
            <w:r>
              <w:rPr>
                <w:rFonts w:hint="default" w:ascii="Times New Roman" w:hAnsi="Times New Roman" w:eastAsia="宋体" w:cs="Times New Roman"/>
                <w:bCs/>
                <w:kern w:val="0"/>
                <w:sz w:val="24"/>
                <w14:ligatures w14: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tcPr>
          <w:p>
            <w:pPr>
              <w:snapToGrid w:val="0"/>
              <w:spacing w:after="312" w:afterLines="100" w:line="276" w:lineRule="auto"/>
              <w:jc w:val="both"/>
              <w:rPr>
                <w:rFonts w:hint="default" w:ascii="Times New Roman" w:hAnsi="Times New Roman" w:eastAsia="宋体" w:cs="Times New Roman"/>
                <w:b/>
                <w:bCs/>
                <w:kern w:val="0"/>
                <w:sz w:val="24"/>
                <w14:ligatures w14:val="none"/>
              </w:rPr>
            </w:pPr>
            <w:r>
              <w:rPr>
                <w:rFonts w:hint="default" w:ascii="Times New Roman" w:hAnsi="Times New Roman" w:eastAsia="宋体" w:cs="Times New Roman"/>
                <w:b/>
                <w:bCs/>
                <w:kern w:val="0"/>
                <w:sz w:val="24"/>
                <w14:ligatures w14:val="none"/>
              </w:rPr>
              <w:t>Chapter 2</w:t>
            </w:r>
            <w:r>
              <w:rPr>
                <w:rFonts w:hint="default" w:ascii="Times New Roman" w:hAnsi="Times New Roman" w:eastAsia="宋体" w:cs="Times New Roman"/>
                <w:b/>
                <w:bCs/>
                <w:kern w:val="0"/>
                <w:sz w:val="24"/>
                <w14:ligatures w14:val="none"/>
              </w:rPr>
              <w:tab/>
            </w:r>
            <w:r>
              <w:rPr>
                <w:rFonts w:hint="default" w:ascii="Times New Roman" w:hAnsi="Times New Roman" w:eastAsia="宋体" w:cs="Times New Roman"/>
                <w:b/>
                <w:bCs/>
                <w:kern w:val="0"/>
                <w:sz w:val="24"/>
                <w14:ligatures w14:val="none"/>
              </w:rPr>
              <w:t>Standard Physical Delivery</w:t>
            </w:r>
          </w:p>
        </w:tc>
        <w:tc>
          <w:tcPr>
            <w:tcW w:w="7370" w:type="dxa"/>
          </w:tcPr>
          <w:p>
            <w:pPr>
              <w:snapToGrid w:val="0"/>
              <w:spacing w:after="312" w:afterLines="100" w:line="276" w:lineRule="auto"/>
              <w:jc w:val="both"/>
              <w:rPr>
                <w:rFonts w:hint="default" w:ascii="Times New Roman" w:hAnsi="Times New Roman" w:eastAsia="宋体" w:cs="Times New Roman"/>
                <w:b/>
                <w:bCs/>
                <w:kern w:val="0"/>
                <w:sz w:val="24"/>
                <w14:ligatures w14:val="none"/>
              </w:rPr>
            </w:pPr>
            <w:r>
              <w:rPr>
                <w:rFonts w:hint="default" w:ascii="Times New Roman" w:hAnsi="Times New Roman" w:eastAsia="宋体" w:cs="Times New Roman"/>
                <w:b/>
                <w:bCs/>
                <w:kern w:val="0"/>
                <w:sz w:val="24"/>
                <w14:ligatures w14:val="none"/>
              </w:rPr>
              <w:t>Chapter 2</w:t>
            </w:r>
            <w:r>
              <w:rPr>
                <w:rFonts w:hint="default" w:ascii="Times New Roman" w:hAnsi="Times New Roman" w:eastAsia="宋体" w:cs="Times New Roman"/>
                <w:b/>
                <w:bCs/>
                <w:kern w:val="0"/>
                <w:sz w:val="24"/>
                <w14:ligatures w14:val="none"/>
              </w:rPr>
              <w:tab/>
            </w:r>
            <w:r>
              <w:rPr>
                <w:rFonts w:hint="default" w:ascii="Times New Roman" w:hAnsi="Times New Roman" w:eastAsia="宋体" w:cs="Times New Roman"/>
                <w:b/>
                <w:bCs/>
                <w:kern w:val="0"/>
                <w:sz w:val="24"/>
                <w14:ligatures w14:val="none"/>
              </w:rPr>
              <w:t>Standard Physical Delivery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70" w:type="dxa"/>
          </w:tcPr>
          <w:p>
            <w:pPr>
              <w:snapToGrid w:val="0"/>
              <w:spacing w:after="312" w:afterLines="100" w:line="276" w:lineRule="auto"/>
              <w:jc w:val="both"/>
              <w:rPr>
                <w:rFonts w:hint="default" w:ascii="Times New Roman" w:hAnsi="Times New Roman" w:eastAsia="宋体" w:cs="Times New Roman"/>
                <w:b/>
                <w:kern w:val="0"/>
                <w:sz w:val="24"/>
                <w14:ligatures w14:val="none"/>
              </w:rPr>
            </w:pPr>
            <w:r>
              <w:rPr>
                <w:rFonts w:hint="default" w:ascii="Times New Roman" w:hAnsi="Times New Roman" w:eastAsia="宋体" w:cs="Times New Roman"/>
                <w:b/>
                <w:kern w:val="0"/>
                <w:sz w:val="24"/>
                <w14:ligatures w14:val="none"/>
              </w:rPr>
              <w:t>Article 13 …</w:t>
            </w:r>
          </w:p>
          <w:p>
            <w:pPr>
              <w:tabs>
                <w:tab w:val="left" w:pos="0"/>
                <w:tab w:val="left" w:pos="709"/>
              </w:tabs>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kern w:val="0"/>
                <w:sz w:val="24"/>
                <w14:ligatures w14:val="none"/>
              </w:rPr>
              <w:t>2.</w:t>
            </w:r>
            <w:r>
              <w:rPr>
                <w:rFonts w:hint="default" w:ascii="Times New Roman" w:hAnsi="Times New Roman" w:eastAsia="宋体" w:cs="Times New Roman"/>
                <w:kern w:val="0"/>
                <w:sz w:val="24"/>
                <w14:ligatures w14:val="none"/>
              </w:rPr>
              <w:tab/>
            </w:r>
            <w:r>
              <w:rPr>
                <w:rFonts w:hint="default" w:ascii="Times New Roman" w:hAnsi="Times New Roman" w:eastAsia="宋体" w:cs="Times New Roman"/>
                <w:kern w:val="0"/>
                <w:sz w:val="24"/>
                <w14:ligatures w14:val="none"/>
              </w:rPr>
              <w:t>The Second Delivery Day (Matching)</w:t>
            </w:r>
          </w:p>
          <w:p>
            <w:pPr>
              <w:tabs>
                <w:tab w:val="left" w:pos="0"/>
                <w:tab w:val="left" w:pos="709"/>
              </w:tabs>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kern w:val="0"/>
                <w:sz w:val="24"/>
                <w14:ligatures w14:val="none"/>
              </w:rPr>
              <w:t>The Exchange matches and allocates available standard warrants in accordance with the principles of “time priority, quantity rounding, nearest matching, and overall arrangement”.</w:t>
            </w:r>
          </w:p>
          <w:p>
            <w:pPr>
              <w:snapToGrid w:val="0"/>
              <w:spacing w:after="312" w:afterLines="100" w:line="276" w:lineRule="auto"/>
              <w:jc w:val="both"/>
              <w:rPr>
                <w:rFonts w:hint="default" w:ascii="Times New Roman" w:hAnsi="Times New Roman" w:eastAsia="宋体" w:cs="Times New Roman"/>
                <w:b/>
                <w:bCs/>
                <w:color w:val="EE0000"/>
                <w:kern w:val="0"/>
                <w:sz w:val="24"/>
                <w14:ligatures w14:val="none"/>
              </w:rPr>
            </w:pPr>
            <w:r>
              <w:rPr>
                <w:rFonts w:hint="default" w:ascii="Times New Roman" w:hAnsi="Times New Roman" w:eastAsia="宋体" w:cs="Times New Roman"/>
                <w:b/>
                <w:bCs/>
                <w:color w:val="EE0000"/>
                <w:kern w:val="0"/>
                <w:sz w:val="24"/>
                <w:szCs w:val="20"/>
                <w14:ligatures w14:val="none"/>
              </w:rPr>
              <w:t>Overseas standard warrants shall be matched and then allocated in accordance with the principle of “intention priority, overseas buyer priority”. The term “overseas buyer” referred to in this Article does not include Qualified Foreign Institutional Investors (QFIIs) and RMB Qualified Foreign Institutional Investors (RQFIIs).</w:t>
            </w:r>
          </w:p>
          <w:p>
            <w:pPr>
              <w:tabs>
                <w:tab w:val="left" w:pos="0"/>
                <w:tab w:val="left" w:pos="709"/>
              </w:tabs>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kern w:val="0"/>
                <w:sz w:val="24"/>
                <w14:ligatures w14:val="none"/>
              </w:rPr>
              <w:t>…</w:t>
            </w:r>
          </w:p>
        </w:tc>
        <w:tc>
          <w:tcPr>
            <w:tcW w:w="7370" w:type="dxa"/>
          </w:tcPr>
          <w:p>
            <w:pPr>
              <w:snapToGrid w:val="0"/>
              <w:spacing w:after="312" w:afterLines="100" w:line="276" w:lineRule="auto"/>
              <w:jc w:val="both"/>
              <w:rPr>
                <w:rFonts w:hint="default" w:ascii="Times New Roman" w:hAnsi="Times New Roman" w:eastAsia="宋体" w:cs="Times New Roman"/>
                <w:b/>
                <w:kern w:val="0"/>
                <w:sz w:val="24"/>
                <w14:ligatures w14:val="none"/>
              </w:rPr>
            </w:pPr>
            <w:r>
              <w:rPr>
                <w:rFonts w:hint="default" w:ascii="Times New Roman" w:hAnsi="Times New Roman" w:eastAsia="宋体" w:cs="Times New Roman"/>
                <w:b/>
                <w:kern w:val="0"/>
                <w:sz w:val="24"/>
                <w14:ligatures w14:val="none"/>
              </w:rPr>
              <w:t>Article 13</w:t>
            </w:r>
            <w:r>
              <w:rPr>
                <w:rFonts w:hint="default" w:ascii="Times New Roman" w:hAnsi="Times New Roman" w:eastAsia="宋体" w:cs="Times New Roman"/>
                <w:b/>
                <w:kern w:val="0"/>
                <w:sz w:val="24"/>
                <w14:ligatures w14:val="none"/>
              </w:rPr>
              <w:tab/>
            </w:r>
            <w:r>
              <w:rPr>
                <w:rFonts w:hint="default" w:ascii="Times New Roman" w:hAnsi="Times New Roman" w:eastAsia="宋体" w:cs="Times New Roman"/>
                <w:b/>
                <w:kern w:val="0"/>
                <w:sz w:val="24"/>
                <w14:ligatures w14:val="none"/>
              </w:rPr>
              <w:t>…</w:t>
            </w:r>
          </w:p>
          <w:p>
            <w:pPr>
              <w:tabs>
                <w:tab w:val="left" w:pos="0"/>
                <w:tab w:val="left" w:pos="454"/>
              </w:tabs>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kern w:val="0"/>
                <w:sz w:val="24"/>
                <w14:ligatures w14:val="none"/>
              </w:rPr>
              <w:t>2.</w:t>
            </w:r>
            <w:r>
              <w:rPr>
                <w:rFonts w:hint="default" w:ascii="Times New Roman" w:hAnsi="Times New Roman" w:eastAsia="宋体" w:cs="Times New Roman"/>
                <w:kern w:val="0"/>
                <w:sz w:val="24"/>
                <w14:ligatures w14:val="none"/>
              </w:rPr>
              <w:tab/>
            </w:r>
            <w:r>
              <w:rPr>
                <w:rFonts w:hint="default" w:ascii="Times New Roman" w:hAnsi="Times New Roman" w:eastAsia="宋体" w:cs="Times New Roman"/>
                <w:kern w:val="0"/>
                <w:sz w:val="24"/>
                <w14:ligatures w14:val="none"/>
              </w:rPr>
              <w:t>The Second Delivery Day (Matching)</w:t>
            </w:r>
          </w:p>
          <w:p>
            <w:pPr>
              <w:tabs>
                <w:tab w:val="left" w:pos="0"/>
                <w:tab w:val="left" w:pos="709"/>
              </w:tabs>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kern w:val="0"/>
                <w:sz w:val="24"/>
                <w14:ligatures w14:val="none"/>
              </w:rPr>
              <w:t>The Exchange matches and allocates available standard warrants in accordance with the principles of “time priority, quantity rounding, nearest matching, and overall arrangement”.</w:t>
            </w:r>
          </w:p>
          <w:p>
            <w:pPr>
              <w:tabs>
                <w:tab w:val="left" w:pos="0"/>
                <w:tab w:val="left" w:pos="709"/>
              </w:tabs>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kern w:val="0"/>
                <w:sz w:val="24"/>
                <w14:ligatures w14: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tcPr>
          <w:p>
            <w:pPr>
              <w:snapToGrid w:val="0"/>
              <w:spacing w:after="312" w:afterLines="100" w:line="276" w:lineRule="auto"/>
              <w:jc w:val="both"/>
              <w:rPr>
                <w:rFonts w:hint="default" w:ascii="Times New Roman" w:hAnsi="Times New Roman" w:eastAsia="宋体" w:cs="Times New Roman"/>
                <w:b/>
                <w:bCs/>
                <w:kern w:val="0"/>
                <w:sz w:val="24"/>
                <w14:ligatures w14:val="none"/>
              </w:rPr>
            </w:pPr>
            <w:r>
              <w:rPr>
                <w:rFonts w:hint="default" w:ascii="Times New Roman" w:hAnsi="Times New Roman" w:eastAsia="宋体" w:cs="Times New Roman"/>
                <w:b/>
                <w:bCs/>
                <w:kern w:val="0"/>
                <w:sz w:val="24"/>
                <w14:ligatures w14:val="none"/>
              </w:rPr>
              <w:t>Chapter 3</w:t>
            </w:r>
            <w:r>
              <w:rPr>
                <w:rFonts w:hint="default" w:ascii="Times New Roman" w:hAnsi="Times New Roman" w:eastAsia="宋体" w:cs="Times New Roman"/>
                <w:b/>
                <w:bCs/>
                <w:kern w:val="0"/>
                <w:sz w:val="24"/>
                <w14:ligatures w14:val="none"/>
              </w:rPr>
              <w:tab/>
            </w:r>
            <w:r>
              <w:rPr>
                <w:rFonts w:hint="default" w:ascii="Times New Roman" w:hAnsi="Times New Roman" w:eastAsia="宋体" w:cs="Times New Roman"/>
                <w:b/>
                <w:bCs/>
                <w:kern w:val="0"/>
                <w:sz w:val="24"/>
                <w14:ligatures w14:val="none"/>
              </w:rPr>
              <w:t>Exchange of Futures for Physicals</w:t>
            </w:r>
          </w:p>
        </w:tc>
        <w:tc>
          <w:tcPr>
            <w:tcW w:w="7370" w:type="dxa"/>
          </w:tcPr>
          <w:p>
            <w:pPr>
              <w:snapToGrid w:val="0"/>
              <w:spacing w:after="312" w:afterLines="100" w:line="276" w:lineRule="auto"/>
              <w:jc w:val="both"/>
              <w:rPr>
                <w:rFonts w:hint="default" w:ascii="Times New Roman" w:hAnsi="Times New Roman" w:eastAsia="宋体" w:cs="Times New Roman"/>
                <w:b/>
                <w:bCs/>
                <w:kern w:val="0"/>
                <w:sz w:val="24"/>
                <w14:ligatures w14:val="none"/>
              </w:rPr>
            </w:pPr>
            <w:r>
              <w:rPr>
                <w:rFonts w:hint="default" w:ascii="Times New Roman" w:hAnsi="Times New Roman" w:eastAsia="宋体" w:cs="Times New Roman"/>
                <w:b/>
                <w:bCs/>
                <w:kern w:val="0"/>
                <w:sz w:val="24"/>
                <w14:ligatures w14:val="none"/>
              </w:rPr>
              <w:t>Chapter 3</w:t>
            </w:r>
            <w:r>
              <w:rPr>
                <w:rFonts w:hint="default" w:ascii="Times New Roman" w:hAnsi="Times New Roman" w:eastAsia="宋体" w:cs="Times New Roman"/>
                <w:b/>
                <w:bCs/>
                <w:kern w:val="0"/>
                <w:sz w:val="24"/>
                <w14:ligatures w14:val="none"/>
              </w:rPr>
              <w:tab/>
            </w:r>
            <w:r>
              <w:rPr>
                <w:rFonts w:hint="default" w:ascii="Times New Roman" w:hAnsi="Times New Roman" w:eastAsia="宋体" w:cs="Times New Roman"/>
                <w:b/>
                <w:bCs/>
                <w:kern w:val="0"/>
                <w:sz w:val="24"/>
                <w14:ligatures w14:val="none"/>
              </w:rPr>
              <w:t>Exchange of Futures for Physicals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tcPr>
          <w:p>
            <w:pPr>
              <w:snapToGrid w:val="0"/>
              <w:spacing w:after="312" w:afterLines="100" w:line="276" w:lineRule="auto"/>
              <w:jc w:val="both"/>
              <w:rPr>
                <w:rFonts w:hint="default" w:ascii="Times New Roman" w:hAnsi="Times New Roman" w:eastAsia="宋体" w:cs="Times New Roman"/>
                <w:b/>
                <w:bCs/>
                <w:kern w:val="0"/>
                <w:sz w:val="24"/>
                <w:szCs w:val="20"/>
                <w14:ligatures w14:val="none"/>
              </w:rPr>
            </w:pPr>
            <w:r>
              <w:rPr>
                <w:rFonts w:hint="default" w:ascii="Times New Roman" w:hAnsi="Times New Roman" w:eastAsia="等线" w:cs="Times New Roman"/>
                <w:b/>
                <w:kern w:val="0"/>
                <w:sz w:val="24"/>
              </w:rPr>
              <w:t>Article 26</w:t>
            </w:r>
            <w:r>
              <w:rPr>
                <w:rFonts w:hint="default" w:ascii="Times New Roman" w:hAnsi="Times New Roman" w:eastAsia="等线" w:cs="Times New Roman"/>
                <w:kern w:val="0"/>
                <w:sz w:val="24"/>
              </w:rPr>
              <w:tab/>
            </w:r>
            <w:r>
              <w:rPr>
                <w:rFonts w:hint="default" w:ascii="Times New Roman" w:hAnsi="Times New Roman" w:eastAsia="等线" w:cs="Times New Roman"/>
                <w:kern w:val="0"/>
                <w:sz w:val="24"/>
              </w:rPr>
              <w:t xml:space="preserve">The final settlement price of the EFPs is the price agreed by the buyer and the seller, while in case the bonded standard warrant </w:t>
            </w:r>
            <w:r>
              <w:rPr>
                <w:rFonts w:hint="default" w:ascii="Times New Roman" w:hAnsi="Times New Roman" w:eastAsia="等线" w:cs="Times New Roman"/>
                <w:b/>
                <w:bCs/>
                <w:color w:val="EE0000"/>
                <w:kern w:val="0"/>
                <w:sz w:val="24"/>
              </w:rPr>
              <w:t>or overseas standard warrant</w:t>
            </w:r>
            <w:r>
              <w:rPr>
                <w:rFonts w:hint="default" w:ascii="Times New Roman" w:hAnsi="Times New Roman" w:eastAsia="等线" w:cs="Times New Roman"/>
                <w:kern w:val="0"/>
                <w:sz w:val="24"/>
              </w:rPr>
              <w:t xml:space="preserve"> is used and the settlement is conducted through the Exchange, the final settlement price of the EFPs shall be calculated according to the specific provisions regarding the listed futures contract in these Delivery Rules.</w:t>
            </w:r>
          </w:p>
        </w:tc>
        <w:tc>
          <w:tcPr>
            <w:tcW w:w="7370" w:type="dxa"/>
          </w:tcPr>
          <w:p>
            <w:pPr>
              <w:snapToGrid w:val="0"/>
              <w:spacing w:after="312" w:afterLines="100" w:line="276" w:lineRule="auto"/>
              <w:jc w:val="both"/>
              <w:rPr>
                <w:rFonts w:hint="default" w:ascii="Times New Roman" w:hAnsi="Times New Roman" w:eastAsia="宋体" w:cs="Times New Roman"/>
                <w:b/>
                <w:bCs/>
                <w:kern w:val="0"/>
                <w:sz w:val="24"/>
                <w:szCs w:val="20"/>
                <w14:ligatures w14:val="none"/>
              </w:rPr>
            </w:pPr>
            <w:r>
              <w:rPr>
                <w:rFonts w:hint="default" w:ascii="Times New Roman" w:hAnsi="Times New Roman" w:eastAsia="宋体" w:cs="Times New Roman"/>
                <w:b/>
                <w:bCs/>
                <w:kern w:val="0"/>
                <w:sz w:val="24"/>
                <w14:ligatures w14:val="none"/>
              </w:rPr>
              <w:t>Article 26</w:t>
            </w:r>
            <w:r>
              <w:rPr>
                <w:rFonts w:hint="default" w:ascii="Times New Roman" w:hAnsi="Times New Roman" w:eastAsia="宋体" w:cs="Times New Roman"/>
                <w:b/>
                <w:bCs/>
                <w:kern w:val="0"/>
                <w:sz w:val="24"/>
                <w14:ligatures w14:val="none"/>
              </w:rPr>
              <w:tab/>
            </w:r>
            <w:r>
              <w:rPr>
                <w:rFonts w:hint="default" w:ascii="Times New Roman" w:hAnsi="Times New Roman" w:eastAsia="宋体" w:cs="Times New Roman"/>
                <w:kern w:val="0"/>
                <w:sz w:val="24"/>
                <w14:ligatures w14:val="none"/>
              </w:rPr>
              <w:t>The final settlement price of the EFPs is the price agreed by the buyer and the seller, while in case the bonded standard warrant is used and the settlement is conducted through the Exchange, the final settlement price of the EFPs shall be calculated according to the specific provisions regarding the listed futures contract in these Delivery Rules.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tcPr>
          <w:p>
            <w:pPr>
              <w:snapToGrid w:val="0"/>
              <w:spacing w:after="312" w:afterLines="100" w:line="276" w:lineRule="auto"/>
              <w:jc w:val="both"/>
              <w:rPr>
                <w:rFonts w:hint="default" w:ascii="Times New Roman" w:hAnsi="Times New Roman" w:eastAsia="宋体" w:cs="Times New Roman"/>
                <w:bCs/>
                <w:kern w:val="0"/>
                <w:sz w:val="24"/>
                <w14:ligatures w14:val="none"/>
              </w:rPr>
            </w:pPr>
            <w:r>
              <w:rPr>
                <w:rFonts w:hint="default" w:ascii="Times New Roman" w:hAnsi="Times New Roman" w:eastAsia="宋体" w:cs="Times New Roman"/>
                <w:b/>
                <w:kern w:val="0"/>
                <w:sz w:val="24"/>
                <w:szCs w:val="20"/>
                <w14:ligatures w14:val="none"/>
              </w:rPr>
              <w:t>Article 29</w:t>
            </w:r>
            <w:r>
              <w:rPr>
                <w:rFonts w:hint="default" w:ascii="Times New Roman" w:hAnsi="Times New Roman" w:eastAsia="宋体" w:cs="Times New Roman"/>
                <w:kern w:val="0"/>
                <w:sz w:val="24"/>
                <w:szCs w:val="20"/>
                <w14:ligatures w14:val="none"/>
              </w:rPr>
              <w:tab/>
            </w:r>
            <w:r>
              <w:rPr>
                <w:rFonts w:hint="default" w:ascii="Times New Roman" w:hAnsi="Times New Roman" w:eastAsia="宋体" w:cs="Times New Roman"/>
                <w:kern w:val="0"/>
                <w:sz w:val="24"/>
                <w:szCs w:val="20"/>
                <w14:ligatures w14:val="none"/>
              </w:rPr>
              <w:t xml:space="preserve">If a </w:t>
            </w:r>
            <w:r>
              <w:rPr>
                <w:rFonts w:hint="default" w:ascii="Times New Roman" w:hAnsi="Times New Roman" w:eastAsia="宋体" w:cs="Times New Roman"/>
                <w:b/>
                <w:bCs/>
                <w:color w:val="EE0000"/>
                <w:kern w:val="0"/>
                <w:sz w:val="24"/>
                <w:szCs w:val="20"/>
                <w14:ligatures w14:val="none"/>
              </w:rPr>
              <w:t>bonded</w:t>
            </w:r>
            <w:r>
              <w:rPr>
                <w:rFonts w:hint="default" w:ascii="Times New Roman" w:hAnsi="Times New Roman" w:eastAsia="宋体" w:cs="Times New Roman"/>
                <w:kern w:val="0"/>
                <w:sz w:val="24"/>
                <w:szCs w:val="20"/>
                <w14:ligatures w14:val="none"/>
              </w:rPr>
              <w:t xml:space="preserve"> standard warrant is used for an EFP transaction and the settlement is conducted via the Exchange, the </w:t>
            </w:r>
            <w:r>
              <w:rPr>
                <w:rFonts w:hint="default" w:ascii="Times New Roman" w:hAnsi="Times New Roman" w:eastAsia="宋体" w:cs="Times New Roman"/>
                <w:color w:val="000000" w:themeColor="text1"/>
                <w:kern w:val="0"/>
                <w:sz w:val="24"/>
                <w:szCs w:val="20"/>
                <w14:textFill>
                  <w14:solidFill>
                    <w14:schemeClr w14:val="tx1"/>
                  </w14:solidFill>
                </w14:textFill>
                <w14:ligatures w14:val="none"/>
              </w:rPr>
              <w:t>seller’s</w:t>
            </w:r>
            <w:r>
              <w:rPr>
                <w:rFonts w:hint="default" w:ascii="Times New Roman" w:hAnsi="Times New Roman" w:eastAsia="宋体" w:cs="Times New Roman"/>
                <w:b/>
                <w:bCs/>
                <w:color w:val="EE0000"/>
                <w:kern w:val="0"/>
                <w:sz w:val="24"/>
                <w:szCs w:val="20"/>
                <w14:ligatures w14:val="none"/>
              </w:rPr>
              <w:t xml:space="preserve"> carrying Member</w:t>
            </w:r>
            <w:r>
              <w:rPr>
                <w:rFonts w:hint="default" w:ascii="Times New Roman" w:hAnsi="Times New Roman" w:eastAsia="宋体" w:cs="Times New Roman"/>
                <w:kern w:val="0"/>
                <w:sz w:val="24"/>
                <w:szCs w:val="20"/>
                <w14:ligatures w14:val="none"/>
              </w:rPr>
              <w:t xml:space="preserve"> shall submit a tax invoice to the Exchange within five (5) trading days immediately after exchanging the payment for underlying commodities and the standard warrant. If the invoice is submitted before 14:00, the Exchange shall, upon verification, release the corresponding margin to the</w:t>
            </w:r>
            <w:r>
              <w:rPr>
                <w:rFonts w:hint="default" w:ascii="Times New Roman" w:hAnsi="Times New Roman" w:eastAsia="宋体" w:cs="Times New Roman"/>
                <w:color w:val="000000" w:themeColor="text1"/>
                <w:kern w:val="0"/>
                <w:sz w:val="24"/>
                <w:szCs w:val="20"/>
                <w14:textFill>
                  <w14:solidFill>
                    <w14:schemeClr w14:val="tx1"/>
                  </w14:solidFill>
                </w14:textFill>
                <w14:ligatures w14:val="none"/>
              </w:rPr>
              <w:t xml:space="preserve"> seller’s</w:t>
            </w:r>
            <w:r>
              <w:rPr>
                <w:rFonts w:hint="default" w:ascii="Times New Roman" w:hAnsi="Times New Roman" w:eastAsia="宋体" w:cs="Times New Roman"/>
                <w:b/>
                <w:bCs/>
                <w:color w:val="EE0000"/>
                <w:kern w:val="0"/>
                <w:sz w:val="24"/>
                <w:szCs w:val="20"/>
                <w14:ligatures w14:val="none"/>
              </w:rPr>
              <w:t xml:space="preserve"> carrying Member</w:t>
            </w:r>
            <w:r>
              <w:rPr>
                <w:rFonts w:hint="default" w:ascii="Times New Roman" w:hAnsi="Times New Roman" w:eastAsia="宋体" w:cs="Times New Roman"/>
                <w:kern w:val="0"/>
                <w:sz w:val="24"/>
                <w:szCs w:val="20"/>
                <w14:ligatures w14:val="none"/>
              </w:rPr>
              <w:t xml:space="preserve"> during the daily clearing on the same day. If submitted after 14:00, the Exchange shall, upon verification, release the margin to the </w:t>
            </w:r>
            <w:r>
              <w:rPr>
                <w:rFonts w:hint="default" w:ascii="Times New Roman" w:hAnsi="Times New Roman" w:eastAsia="宋体" w:cs="Times New Roman"/>
                <w:color w:val="000000" w:themeColor="text1"/>
                <w:kern w:val="0"/>
                <w:sz w:val="24"/>
                <w:szCs w:val="20"/>
                <w14:textFill>
                  <w14:solidFill>
                    <w14:schemeClr w14:val="tx1"/>
                  </w14:solidFill>
                </w14:textFill>
                <w14:ligatures w14:val="none"/>
              </w:rPr>
              <w:t>seller’s</w:t>
            </w:r>
            <w:r>
              <w:rPr>
                <w:rFonts w:hint="default" w:ascii="Times New Roman" w:hAnsi="Times New Roman" w:eastAsia="宋体" w:cs="Times New Roman"/>
                <w:b/>
                <w:bCs/>
                <w:color w:val="EE0000"/>
                <w:kern w:val="0"/>
                <w:sz w:val="24"/>
                <w:szCs w:val="20"/>
                <w14:ligatures w14:val="none"/>
              </w:rPr>
              <w:t xml:space="preserve"> carrying Member</w:t>
            </w:r>
            <w:r>
              <w:rPr>
                <w:rFonts w:hint="default" w:ascii="Times New Roman" w:hAnsi="Times New Roman" w:eastAsia="宋体" w:cs="Times New Roman"/>
                <w:kern w:val="0"/>
                <w:sz w:val="24"/>
                <w:szCs w:val="20"/>
                <w14:ligatures w14:val="none"/>
              </w:rPr>
              <w:t xml:space="preserve"> during the daily clearing on the next trading day. After receiving the invoice from the </w:t>
            </w:r>
            <w:r>
              <w:rPr>
                <w:rFonts w:hint="default" w:ascii="Times New Roman" w:hAnsi="Times New Roman" w:eastAsia="宋体" w:cs="Times New Roman"/>
                <w:color w:val="000000" w:themeColor="text1"/>
                <w:kern w:val="0"/>
                <w:sz w:val="24"/>
                <w:szCs w:val="20"/>
                <w14:textFill>
                  <w14:solidFill>
                    <w14:schemeClr w14:val="tx1"/>
                  </w14:solidFill>
                </w14:textFill>
                <w14:ligatures w14:val="none"/>
              </w:rPr>
              <w:t>seller’s</w:t>
            </w:r>
            <w:r>
              <w:rPr>
                <w:rFonts w:hint="default" w:ascii="Times New Roman" w:hAnsi="Times New Roman" w:eastAsia="宋体" w:cs="Times New Roman"/>
                <w:b/>
                <w:bCs/>
                <w:color w:val="EE0000"/>
                <w:kern w:val="0"/>
                <w:sz w:val="24"/>
                <w:szCs w:val="20"/>
                <w14:ligatures w14:val="none"/>
              </w:rPr>
              <w:t xml:space="preserve"> carrying Member</w:t>
            </w:r>
            <w:r>
              <w:rPr>
                <w:rFonts w:hint="default" w:ascii="Times New Roman" w:hAnsi="Times New Roman" w:eastAsia="宋体" w:cs="Times New Roman"/>
                <w:kern w:val="0"/>
                <w:sz w:val="24"/>
                <w:szCs w:val="20"/>
                <w14:ligatures w14:val="none"/>
              </w:rPr>
              <w:t>, the Exchange shall issue a tax invoice to the buyer’s</w:t>
            </w:r>
            <w:r>
              <w:rPr>
                <w:rFonts w:hint="default" w:ascii="Times New Roman" w:hAnsi="Times New Roman" w:eastAsia="宋体" w:cs="Times New Roman"/>
                <w:b/>
                <w:bCs/>
                <w:color w:val="EE0000"/>
                <w:kern w:val="0"/>
                <w:sz w:val="24"/>
                <w:szCs w:val="20"/>
                <w14:ligatures w14:val="none"/>
              </w:rPr>
              <w:t xml:space="preserve"> carrying Member</w:t>
            </w:r>
            <w:r>
              <w:rPr>
                <w:rFonts w:hint="default" w:ascii="Times New Roman" w:hAnsi="Times New Roman" w:eastAsia="宋体" w:cs="Times New Roman"/>
                <w:kern w:val="0"/>
                <w:sz w:val="24"/>
                <w:szCs w:val="20"/>
                <w14:ligatures w14:val="none"/>
              </w:rPr>
              <w:t xml:space="preserve"> on the following trading day. If the</w:t>
            </w:r>
            <w:r>
              <w:rPr>
                <w:rFonts w:hint="default" w:ascii="Times New Roman" w:hAnsi="Times New Roman" w:eastAsia="宋体" w:cs="Times New Roman"/>
                <w:b/>
                <w:bCs/>
                <w:color w:val="EE0000"/>
                <w:kern w:val="0"/>
                <w:sz w:val="24"/>
                <w:szCs w:val="20"/>
                <w14:ligatures w14:val="none"/>
              </w:rPr>
              <w:t xml:space="preserve"> </w:t>
            </w:r>
            <w:r>
              <w:rPr>
                <w:rFonts w:hint="default" w:ascii="Times New Roman" w:hAnsi="Times New Roman" w:eastAsia="宋体" w:cs="Times New Roman"/>
                <w:color w:val="000000" w:themeColor="text1"/>
                <w:kern w:val="0"/>
                <w:sz w:val="24"/>
                <w:szCs w:val="20"/>
                <w14:textFill>
                  <w14:solidFill>
                    <w14:schemeClr w14:val="tx1"/>
                  </w14:solidFill>
                </w14:textFill>
                <w14:ligatures w14:val="none"/>
              </w:rPr>
              <w:t>seller’s</w:t>
            </w:r>
            <w:r>
              <w:rPr>
                <w:rFonts w:hint="default" w:ascii="Times New Roman" w:hAnsi="Times New Roman" w:eastAsia="宋体" w:cs="Times New Roman"/>
                <w:b/>
                <w:bCs/>
                <w:color w:val="EE0000"/>
                <w:kern w:val="0"/>
                <w:sz w:val="24"/>
                <w:szCs w:val="20"/>
                <w14:ligatures w14:val="none"/>
              </w:rPr>
              <w:t xml:space="preserve"> carrying Member</w:t>
            </w:r>
            <w:r>
              <w:rPr>
                <w:rFonts w:hint="default" w:ascii="Times New Roman" w:hAnsi="Times New Roman" w:eastAsia="宋体" w:cs="Times New Roman"/>
                <w:kern w:val="0"/>
                <w:sz w:val="24"/>
                <w:szCs w:val="20"/>
                <w14:ligatures w14:val="none"/>
              </w:rPr>
              <w:t xml:space="preserve"> fails to submit the invoice within the prescribed period, the matter shall be handled in accordance with the relevant provisions of the Clearing Rules of the Shanghai International Energy Exchange.</w:t>
            </w:r>
          </w:p>
          <w:p>
            <w:pPr>
              <w:snapToGrid w:val="0"/>
              <w:spacing w:after="312" w:afterLines="100" w:line="276" w:lineRule="auto"/>
              <w:jc w:val="both"/>
              <w:rPr>
                <w:rFonts w:hint="default" w:ascii="Times New Roman" w:hAnsi="Times New Roman" w:eastAsia="等线" w:cs="Times New Roman"/>
                <w:b/>
                <w:kern w:val="0"/>
                <w:sz w:val="24"/>
                <w:szCs w:val="20"/>
                <w14:ligatures w14:val="none"/>
              </w:rPr>
            </w:pPr>
            <w:r>
              <w:rPr>
                <w:rFonts w:hint="default" w:ascii="Times New Roman" w:hAnsi="Times New Roman" w:eastAsia="等线" w:cs="Times New Roman"/>
                <w:b/>
                <w:bCs/>
                <w:color w:val="EE0000"/>
                <w:kern w:val="0"/>
                <w:sz w:val="24"/>
              </w:rPr>
              <w:t>If an overseas standard warrant is used for an EFP transaction and the settlement is conducted via the Exchange, the seller shall issue the tax invoice directly to the buyer. The carrying Members of the seller and the buyer shall be responsible for verifying, transmitting, and confirming the invoice and the specific information required for invoicing. The buyer’s</w:t>
            </w:r>
            <w:r>
              <w:rPr>
                <w:rFonts w:hint="default" w:ascii="Times New Roman" w:hAnsi="Times New Roman" w:eastAsia="宋体" w:cs="Times New Roman"/>
                <w:b/>
                <w:bCs/>
                <w:color w:val="EE0000"/>
                <w:kern w:val="0"/>
                <w:sz w:val="24"/>
                <w:szCs w:val="20"/>
                <w14:ligatures w14:val="none"/>
              </w:rPr>
              <w:t xml:space="preserve"> carrying Member</w:t>
            </w:r>
            <w:r>
              <w:rPr>
                <w:rFonts w:hint="default" w:ascii="Times New Roman" w:hAnsi="Times New Roman" w:eastAsia="等线" w:cs="Times New Roman"/>
                <w:b/>
                <w:bCs/>
                <w:color w:val="EE0000"/>
                <w:kern w:val="0"/>
                <w:sz w:val="24"/>
              </w:rPr>
              <w:t xml:space="preserve"> shall provide the seller’s carrying Member with such information within one (1) trading day after completing the EFP transaction. The Members shall also mediate and resolve any related disputes. OSBPs and Overseas Intermediaries shall assist the Members in the above verification, transmission, and confirmation, as well as in the mediation and resolution of disputes.The seller’s carrying Member shall deliver the invoice to the buyer’s</w:t>
            </w:r>
            <w:r>
              <w:rPr>
                <w:rFonts w:hint="default" w:ascii="Times New Roman" w:hAnsi="Times New Roman" w:eastAsia="宋体" w:cs="Times New Roman"/>
                <w:b/>
                <w:bCs/>
                <w:color w:val="EE0000"/>
                <w:kern w:val="0"/>
                <w:sz w:val="24"/>
                <w:szCs w:val="20"/>
                <w14:ligatures w14:val="none"/>
              </w:rPr>
              <w:t xml:space="preserve"> carrying Member</w:t>
            </w:r>
            <w:r>
              <w:rPr>
                <w:rFonts w:hint="default" w:ascii="Times New Roman" w:hAnsi="Times New Roman" w:eastAsia="等线" w:cs="Times New Roman"/>
                <w:b/>
                <w:bCs/>
                <w:color w:val="EE0000"/>
                <w:kern w:val="0"/>
                <w:sz w:val="24"/>
              </w:rPr>
              <w:t xml:space="preserve"> within five (5) trading days after completing the EFP transaction. If the invoicing matters remain unresolved by 14:00 on the trading day immediately following the completion of the EFP transaction, the Exchange shall, on that day, collect a margin of no less than 15% on the corresponding delivery position, calculated using the EFP final settlement price of the relevant contract. Such margin shall be released after the invoicing matters are resolved by the buyer and seller and upon application and confirmation by their carrying Members. If the seller’s carrying Member fails to submit the invoice within the prescribed period, the matter shall be handled by reference to the relevant provisions of the </w:t>
            </w:r>
            <w:r>
              <w:rPr>
                <w:rFonts w:hint="default" w:ascii="Times New Roman" w:hAnsi="Times New Roman" w:eastAsia="等线" w:cs="Times New Roman"/>
                <w:b/>
                <w:bCs/>
                <w:i/>
                <w:iCs/>
                <w:color w:val="EE0000"/>
                <w:kern w:val="0"/>
                <w:sz w:val="24"/>
              </w:rPr>
              <w:t>Clearing Rules of the Shanghai International Energy Exchange</w:t>
            </w:r>
            <w:r>
              <w:rPr>
                <w:rFonts w:hint="default" w:ascii="Times New Roman" w:hAnsi="Times New Roman" w:eastAsia="等线" w:cs="Times New Roman"/>
                <w:b/>
                <w:bCs/>
                <w:color w:val="EE0000"/>
                <w:kern w:val="0"/>
                <w:sz w:val="24"/>
              </w:rPr>
              <w:t>.</w:t>
            </w:r>
          </w:p>
        </w:tc>
        <w:tc>
          <w:tcPr>
            <w:tcW w:w="7370" w:type="dxa"/>
          </w:tcPr>
          <w:p>
            <w:pPr>
              <w:snapToGrid w:val="0"/>
              <w:spacing w:after="312" w:afterLines="100" w:line="276" w:lineRule="auto"/>
              <w:jc w:val="both"/>
              <w:rPr>
                <w:rFonts w:hint="default" w:ascii="Times New Roman" w:hAnsi="Times New Roman" w:eastAsia="宋体" w:cs="Times New Roman"/>
                <w:b/>
                <w:bCs/>
                <w:kern w:val="0"/>
                <w:sz w:val="24"/>
                <w:szCs w:val="20"/>
                <w14:ligatures w14:val="none"/>
              </w:rPr>
            </w:pPr>
            <w:r>
              <w:rPr>
                <w:rFonts w:hint="default" w:ascii="Times New Roman" w:hAnsi="Times New Roman" w:eastAsia="宋体" w:cs="Times New Roman"/>
                <w:b/>
                <w:bCs/>
                <w:kern w:val="0"/>
                <w:sz w:val="24"/>
                <w14:ligatures w14:val="none"/>
              </w:rPr>
              <w:t>Article 29</w:t>
            </w:r>
            <w:r>
              <w:rPr>
                <w:rFonts w:hint="default" w:ascii="Times New Roman" w:hAnsi="Times New Roman" w:eastAsia="宋体" w:cs="Times New Roman"/>
                <w:b/>
                <w:bCs/>
                <w:kern w:val="0"/>
                <w:sz w:val="24"/>
                <w14:ligatures w14:val="none"/>
              </w:rPr>
              <w:tab/>
            </w:r>
            <w:r>
              <w:rPr>
                <w:rFonts w:hint="default" w:ascii="Times New Roman" w:hAnsi="Times New Roman" w:eastAsia="宋体" w:cs="Times New Roman"/>
                <w:kern w:val="0"/>
                <w:sz w:val="24"/>
                <w14:ligatures w14:val="none"/>
              </w:rPr>
              <w:t xml:space="preserve">If a standard warrant is used for </w:t>
            </w:r>
            <w:r>
              <w:rPr>
                <w:rFonts w:hint="default" w:ascii="Times New Roman" w:hAnsi="Times New Roman" w:eastAsia="宋体" w:cs="Times New Roman"/>
                <w:kern w:val="0"/>
                <w:sz w:val="24"/>
                <w:szCs w:val="20"/>
                <w14:ligatures w14:val="none"/>
              </w:rPr>
              <w:t xml:space="preserve">an EFP transaction </w:t>
            </w:r>
            <w:r>
              <w:rPr>
                <w:rFonts w:hint="default" w:ascii="Times New Roman" w:hAnsi="Times New Roman" w:eastAsia="宋体" w:cs="Times New Roman"/>
                <w:kern w:val="0"/>
                <w:sz w:val="24"/>
                <w14:ligatures w14:val="none"/>
              </w:rPr>
              <w:t xml:space="preserve">and the settlement is conducted via the Exchange, the seller shall submit </w:t>
            </w:r>
            <w:r>
              <w:rPr>
                <w:rFonts w:hint="default" w:ascii="Times New Roman" w:hAnsi="Times New Roman" w:eastAsia="宋体" w:cs="Times New Roman"/>
                <w:kern w:val="0"/>
                <w:sz w:val="24"/>
                <w:szCs w:val="20"/>
                <w14:ligatures w14:val="none"/>
              </w:rPr>
              <w:t>a tax invoice</w:t>
            </w:r>
            <w:r>
              <w:rPr>
                <w:rFonts w:hint="default" w:ascii="Times New Roman" w:hAnsi="Times New Roman" w:eastAsia="宋体" w:cs="Times New Roman"/>
                <w:kern w:val="0"/>
                <w:sz w:val="24"/>
                <w14:ligatures w14:val="none"/>
              </w:rPr>
              <w:t xml:space="preserve"> to the Exchange within five (5) trading days immediately after exchanging the payment for underlying commodities and the standard warrant.</w:t>
            </w:r>
            <w:r>
              <w:rPr>
                <w:rFonts w:hint="default" w:ascii="Times New Roman" w:hAnsi="Times New Roman" w:eastAsia="等线" w:cs="Times New Roman"/>
                <w:kern w:val="0"/>
                <w:sz w:val="24"/>
              </w:rPr>
              <w:t xml:space="preserve"> If the invoice is submitted before 14:00, the Exchange shall, upon verification, release the corresponding margin to the seller during the daily clearing on the same day. If submitted after 14:00, the Exchange shall, upon verification, release the margin to the seller during the daily clearing on the next trading day. After receiving the invoice from the seller, the Exchange shall issue a tax invoice to the buyer on the following trading day. If the seller fails to submit the invoice within the prescribed period, the matter shall be handled in accordance with the relevant provisions of the Clearing Rules of the Shanghai International Energy Exchange.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370" w:type="dxa"/>
          </w:tcPr>
          <w:p>
            <w:pPr>
              <w:snapToGrid w:val="0"/>
              <w:spacing w:after="312" w:afterLines="100" w:line="276" w:lineRule="auto"/>
              <w:jc w:val="both"/>
              <w:rPr>
                <w:rFonts w:hint="default" w:ascii="Times New Roman" w:hAnsi="Times New Roman" w:eastAsia="宋体" w:cs="Times New Roman"/>
                <w:b/>
                <w:bCs/>
                <w:kern w:val="0"/>
                <w:sz w:val="24"/>
                <w14:ligatures w14:val="none"/>
              </w:rPr>
            </w:pPr>
            <w:r>
              <w:rPr>
                <w:rFonts w:hint="default" w:ascii="Times New Roman" w:hAnsi="Times New Roman" w:eastAsia="宋体" w:cs="Times New Roman"/>
                <w:b/>
                <w:bCs/>
                <w:kern w:val="0"/>
                <w:sz w:val="24"/>
                <w14:ligatures w14:val="none"/>
              </w:rPr>
              <w:t>Chapter 4</w:t>
            </w:r>
            <w:r>
              <w:rPr>
                <w:rFonts w:hint="default" w:ascii="Times New Roman" w:hAnsi="Times New Roman" w:eastAsia="宋体" w:cs="Times New Roman"/>
                <w:b/>
                <w:bCs/>
                <w:kern w:val="0"/>
                <w:sz w:val="24"/>
                <w14:ligatures w14:val="none"/>
              </w:rPr>
              <w:tab/>
            </w:r>
            <w:r>
              <w:rPr>
                <w:rFonts w:hint="default" w:ascii="Times New Roman" w:hAnsi="Times New Roman" w:eastAsia="宋体" w:cs="Times New Roman"/>
                <w:b/>
                <w:bCs/>
                <w:kern w:val="0"/>
                <w:sz w:val="24"/>
                <w14:ligatures w14:val="none"/>
              </w:rPr>
              <w:t>Warehouse Delivery</w:t>
            </w:r>
          </w:p>
        </w:tc>
        <w:tc>
          <w:tcPr>
            <w:tcW w:w="7370" w:type="dxa"/>
          </w:tcPr>
          <w:p>
            <w:pPr>
              <w:snapToGrid w:val="0"/>
              <w:spacing w:after="312" w:afterLines="100" w:line="276" w:lineRule="auto"/>
              <w:jc w:val="both"/>
              <w:rPr>
                <w:rFonts w:hint="default" w:ascii="Times New Roman" w:hAnsi="Times New Roman" w:eastAsia="宋体" w:cs="Times New Roman"/>
                <w:b/>
                <w:bCs/>
                <w:kern w:val="0"/>
                <w:sz w:val="24"/>
                <w14:ligatures w14:val="none"/>
              </w:rPr>
            </w:pPr>
            <w:r>
              <w:rPr>
                <w:rFonts w:hint="default" w:ascii="Times New Roman" w:hAnsi="Times New Roman" w:eastAsia="宋体" w:cs="Times New Roman"/>
                <w:b/>
                <w:bCs/>
                <w:kern w:val="0"/>
                <w:sz w:val="24"/>
                <w14:ligatures w14:val="none"/>
              </w:rPr>
              <w:t>Chapter 4</w:t>
            </w:r>
            <w:r>
              <w:rPr>
                <w:rFonts w:hint="default" w:ascii="Times New Roman" w:hAnsi="Times New Roman" w:eastAsia="宋体" w:cs="Times New Roman"/>
                <w:b/>
                <w:bCs/>
                <w:kern w:val="0"/>
                <w:sz w:val="24"/>
                <w14:ligatures w14:val="none"/>
              </w:rPr>
              <w:tab/>
            </w:r>
            <w:r>
              <w:rPr>
                <w:rFonts w:hint="default" w:ascii="Times New Roman" w:hAnsi="Times New Roman" w:eastAsia="宋体" w:cs="Times New Roman"/>
                <w:b/>
                <w:bCs/>
                <w:kern w:val="0"/>
                <w:sz w:val="24"/>
                <w14:ligatures w14:val="none"/>
              </w:rPr>
              <w:t>Warehouse Delivery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7370" w:type="dxa"/>
          </w:tcPr>
          <w:p>
            <w:pPr>
              <w:snapToGrid w:val="0"/>
              <w:spacing w:after="312" w:afterLines="100" w:line="276" w:lineRule="auto"/>
              <w:jc w:val="both"/>
              <w:rPr>
                <w:rFonts w:hint="default" w:ascii="Times New Roman" w:hAnsi="Times New Roman" w:eastAsia="宋体" w:cs="Times New Roman"/>
                <w:bCs/>
                <w:kern w:val="0"/>
                <w:sz w:val="24"/>
                <w14:ligatures w14:val="none"/>
              </w:rPr>
            </w:pPr>
            <w:r>
              <w:rPr>
                <w:rFonts w:hint="default" w:ascii="Times New Roman" w:hAnsi="Times New Roman" w:eastAsia="宋体" w:cs="Times New Roman"/>
                <w:b/>
                <w:bCs/>
                <w:kern w:val="0"/>
                <w:sz w:val="24"/>
                <w14:ligatures w14:val="none"/>
              </w:rPr>
              <w:t xml:space="preserve">Article 45 </w:t>
            </w:r>
            <w:r>
              <w:rPr>
                <w:rFonts w:hint="default" w:ascii="Times New Roman" w:hAnsi="Times New Roman" w:eastAsia="宋体" w:cs="Times New Roman"/>
                <w:bCs/>
                <w:kern w:val="0"/>
                <w:sz w:val="24"/>
                <w14:ligatures w14:val="none"/>
              </w:rPr>
              <w:t>…</w:t>
            </w:r>
          </w:p>
          <w:p>
            <w:pPr>
              <w:snapToGrid w:val="0"/>
              <w:spacing w:after="312" w:afterLines="100" w:line="276" w:lineRule="auto"/>
              <w:jc w:val="both"/>
              <w:rPr>
                <w:rFonts w:hint="default" w:ascii="Times New Roman" w:hAnsi="Times New Roman" w:eastAsia="宋体" w:cs="Times New Roman"/>
                <w:b/>
                <w:bCs/>
                <w:kern w:val="0"/>
                <w:sz w:val="24"/>
                <w14:ligatures w14:val="none"/>
              </w:rPr>
            </w:pPr>
            <w:r>
              <w:rPr>
                <w:rFonts w:hint="default" w:ascii="Times New Roman" w:hAnsi="Times New Roman" w:eastAsia="等线" w:cs="Times New Roman"/>
                <w:kern w:val="0"/>
                <w:sz w:val="24"/>
              </w:rPr>
              <w:t>When the holder of a standard warrant disputes the quality</w:t>
            </w:r>
            <w:r>
              <w:rPr>
                <w:rFonts w:hint="default" w:ascii="Times New Roman" w:hAnsi="Times New Roman" w:eastAsia="等线" w:cs="Times New Roman"/>
                <w:b/>
                <w:bCs/>
                <w:color w:val="EE0000"/>
                <w:kern w:val="0"/>
                <w:sz w:val="24"/>
              </w:rPr>
              <w:t xml:space="preserve"> or quantity (weight) of</w:t>
            </w:r>
            <w:r>
              <w:rPr>
                <w:rFonts w:hint="default" w:ascii="Times New Roman" w:hAnsi="Times New Roman" w:eastAsia="等线" w:cs="Times New Roman"/>
                <w:kern w:val="0"/>
                <w:sz w:val="24"/>
              </w:rPr>
              <w:t xml:space="preserve"> the delivered commodities, he/she shall apply in writing for dispute resolution to the Designated Delivery Storage Facility within ten (10) business days after the Designated Inspection Agency issues the inspection reports. The quality inspection reports issued by the Designated Inspection Agency shall also be provided with the application. If the application is not submitted within the specified time period, it is deemed that there is no dispute against the delivered commodities, and the Designated Delivery Storage Facility and the Exchange will no longer accept requests for dispute resolution against the delivered commodities.</w:t>
            </w:r>
          </w:p>
        </w:tc>
        <w:tc>
          <w:tcPr>
            <w:tcW w:w="7370" w:type="dxa"/>
          </w:tcPr>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b/>
                <w:bCs/>
                <w:kern w:val="0"/>
                <w:sz w:val="24"/>
                <w14:ligatures w14:val="none"/>
              </w:rPr>
              <w:t>Article 45</w:t>
            </w:r>
            <w:r>
              <w:rPr>
                <w:rFonts w:hint="default" w:ascii="Times New Roman" w:hAnsi="Times New Roman" w:eastAsia="宋体" w:cs="Times New Roman"/>
                <w:b/>
                <w:bCs/>
                <w:kern w:val="0"/>
                <w:sz w:val="24"/>
                <w14:ligatures w14:val="none"/>
              </w:rPr>
              <w:tab/>
            </w:r>
            <w:r>
              <w:rPr>
                <w:rFonts w:hint="default" w:ascii="Times New Roman" w:hAnsi="Times New Roman" w:eastAsia="宋体" w:cs="Times New Roman"/>
                <w:kern w:val="0"/>
                <w:sz w:val="24"/>
                <w14:ligatures w14:val="none"/>
              </w:rPr>
              <w:t>…</w:t>
            </w:r>
          </w:p>
          <w:p>
            <w:pPr>
              <w:snapToGrid w:val="0"/>
              <w:spacing w:after="312" w:afterLines="100" w:line="276" w:lineRule="auto"/>
              <w:jc w:val="both"/>
              <w:rPr>
                <w:rFonts w:hint="default" w:ascii="Times New Roman" w:hAnsi="Times New Roman" w:eastAsia="宋体" w:cs="Times New Roman"/>
                <w:bCs/>
                <w:kern w:val="0"/>
                <w:sz w:val="24"/>
                <w14:ligatures w14:val="none"/>
              </w:rPr>
            </w:pPr>
            <w:r>
              <w:rPr>
                <w:rFonts w:hint="default" w:ascii="Times New Roman" w:hAnsi="Times New Roman" w:eastAsia="宋体" w:cs="Times New Roman"/>
                <w:bCs/>
                <w:kern w:val="0"/>
                <w:sz w:val="24"/>
                <w14:ligatures w14:val="none"/>
              </w:rPr>
              <w:t>When the holder of a standard warrant has any dispute against the delivered commodities, he/she shall apply in writing for dispute resolution to the Designated Delivery Storage Facility within ten (10) business days after the Designated Inspection Agency issues the inspection reports. The quality inspection reports issued by the Designated Inspection Agency shall also be provided with the application. If the application is not submitted within the specified time period, it is deemed that there is no dispute against the delivered commodities, and the Designated Delivery Storage Facility and the Exchange will no longer accept requests for dispute resolution against the delivered commodities.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370" w:type="dxa"/>
          </w:tcPr>
          <w:p>
            <w:pPr>
              <w:snapToGrid w:val="0"/>
              <w:spacing w:after="312" w:afterLines="100" w:line="276" w:lineRule="auto"/>
              <w:jc w:val="both"/>
              <w:rPr>
                <w:rFonts w:hint="default" w:ascii="Times New Roman" w:hAnsi="Times New Roman" w:eastAsia="宋体" w:cs="Times New Roman"/>
                <w:b/>
                <w:bCs/>
                <w:kern w:val="0"/>
                <w:sz w:val="24"/>
                <w14:ligatures w14:val="none"/>
              </w:rPr>
            </w:pPr>
            <w:r>
              <w:rPr>
                <w:rFonts w:hint="default" w:ascii="Times New Roman" w:hAnsi="Times New Roman" w:eastAsia="宋体" w:cs="Times New Roman"/>
                <w:b/>
                <w:bCs/>
                <w:kern w:val="0"/>
                <w:sz w:val="24"/>
                <w14:ligatures w14:val="none"/>
              </w:rPr>
              <w:t>Chapter 5</w:t>
            </w:r>
            <w:r>
              <w:rPr>
                <w:rFonts w:hint="default" w:ascii="Times New Roman" w:hAnsi="Times New Roman" w:eastAsia="宋体" w:cs="Times New Roman"/>
                <w:b/>
                <w:bCs/>
                <w:kern w:val="0"/>
                <w:sz w:val="24"/>
                <w14:ligatures w14:val="none"/>
              </w:rPr>
              <w:tab/>
            </w:r>
            <w:r>
              <w:rPr>
                <w:rFonts w:hint="default" w:ascii="Times New Roman" w:hAnsi="Times New Roman" w:eastAsia="宋体" w:cs="Times New Roman"/>
                <w:b/>
                <w:bCs/>
                <w:kern w:val="0"/>
                <w:sz w:val="24"/>
                <w14:ligatures w14:val="none"/>
              </w:rPr>
              <w:t>Factory Delivery</w:t>
            </w:r>
          </w:p>
        </w:tc>
        <w:tc>
          <w:tcPr>
            <w:tcW w:w="7370" w:type="dxa"/>
          </w:tcPr>
          <w:p>
            <w:pPr>
              <w:snapToGrid w:val="0"/>
              <w:spacing w:after="312" w:afterLines="100" w:line="276" w:lineRule="auto"/>
              <w:jc w:val="both"/>
              <w:rPr>
                <w:rFonts w:hint="default" w:ascii="Times New Roman" w:hAnsi="Times New Roman" w:eastAsia="宋体" w:cs="Times New Roman"/>
                <w:b/>
                <w:bCs/>
                <w:kern w:val="0"/>
                <w:sz w:val="24"/>
                <w14:ligatures w14:val="none"/>
              </w:rPr>
            </w:pPr>
            <w:r>
              <w:rPr>
                <w:rFonts w:hint="default" w:ascii="Times New Roman" w:hAnsi="Times New Roman" w:eastAsia="宋体" w:cs="Times New Roman"/>
                <w:b/>
                <w:bCs/>
                <w:kern w:val="0"/>
                <w:sz w:val="24"/>
                <w14:ligatures w14:val="none"/>
              </w:rPr>
              <w:t>Chapter 5</w:t>
            </w:r>
            <w:r>
              <w:rPr>
                <w:rFonts w:hint="default" w:ascii="Times New Roman" w:hAnsi="Times New Roman" w:eastAsia="宋体" w:cs="Times New Roman"/>
                <w:b/>
                <w:bCs/>
                <w:kern w:val="0"/>
                <w:sz w:val="24"/>
                <w14:ligatures w14:val="none"/>
              </w:rPr>
              <w:tab/>
            </w:r>
            <w:r>
              <w:rPr>
                <w:rFonts w:hint="default" w:ascii="Times New Roman" w:hAnsi="Times New Roman" w:eastAsia="宋体" w:cs="Times New Roman"/>
                <w:b/>
                <w:bCs/>
                <w:kern w:val="0"/>
                <w:sz w:val="24"/>
                <w14:ligatures w14:val="none"/>
              </w:rPr>
              <w:t>Factory Delivery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7370" w:type="dxa"/>
          </w:tcPr>
          <w:p>
            <w:pPr>
              <w:snapToGrid w:val="0"/>
              <w:spacing w:after="312" w:afterLines="100" w:line="276" w:lineRule="auto"/>
              <w:jc w:val="both"/>
              <w:rPr>
                <w:rFonts w:hint="default" w:ascii="Times New Roman" w:hAnsi="Times New Roman" w:eastAsia="等线" w:cs="Times New Roman"/>
                <w:kern w:val="0"/>
                <w:sz w:val="24"/>
              </w:rPr>
            </w:pPr>
            <w:r>
              <w:rPr>
                <w:rFonts w:hint="default" w:ascii="Times New Roman" w:hAnsi="Times New Roman" w:eastAsia="等线" w:cs="Times New Roman"/>
                <w:b/>
                <w:kern w:val="0"/>
                <w:sz w:val="24"/>
              </w:rPr>
              <w:t>Article 56</w:t>
            </w:r>
            <w:r>
              <w:rPr>
                <w:rFonts w:hint="default" w:ascii="Times New Roman" w:hAnsi="Times New Roman" w:eastAsia="等线" w:cs="Times New Roman"/>
                <w:b/>
                <w:kern w:val="0"/>
                <w:sz w:val="24"/>
              </w:rPr>
              <w:tab/>
            </w:r>
            <w:r>
              <w:rPr>
                <w:rFonts w:hint="default" w:ascii="Times New Roman" w:hAnsi="Times New Roman" w:eastAsia="等线" w:cs="Times New Roman"/>
                <w:kern w:val="0"/>
                <w:sz w:val="24"/>
              </w:rPr>
              <w:t>A factory shall ensure that the quality of futures commodities loaded out meets the quality standards prescribed in the corresponding futures contracts listed on the Exchange.</w:t>
            </w:r>
          </w:p>
          <w:p>
            <w:pPr>
              <w:tabs>
                <w:tab w:val="left" w:pos="0"/>
                <w:tab w:val="left" w:pos="709"/>
              </w:tabs>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等线" w:cs="Times New Roman"/>
                <w:kern w:val="0"/>
                <w:sz w:val="24"/>
              </w:rPr>
              <w:t>When the holder of a factory standard warrant disputes the quality</w:t>
            </w:r>
            <w:r>
              <w:rPr>
                <w:rFonts w:hint="default" w:ascii="Times New Roman" w:hAnsi="Times New Roman" w:eastAsia="等线" w:cs="Times New Roman"/>
                <w:b/>
                <w:bCs/>
                <w:color w:val="EE0000"/>
                <w:kern w:val="0"/>
                <w:sz w:val="24"/>
              </w:rPr>
              <w:t xml:space="preserve"> or quantity (weight) of</w:t>
            </w:r>
            <w:r>
              <w:rPr>
                <w:rFonts w:hint="default" w:ascii="Times New Roman" w:hAnsi="Times New Roman" w:eastAsia="等线" w:cs="Times New Roman"/>
                <w:kern w:val="0"/>
                <w:sz w:val="24"/>
              </w:rPr>
              <w:t xml:space="preserve"> the delivered commodities, he/she shall apply in writing for dispute resolution to the Exchange within ten (10) business days after the physical delivery. The quality inspection opinions issued by a Designated Inspection Agency shall be provided with the application. If the application is not submitted within the specified time period, it is deemed that there is no dispute against the delivered commodities, and the Exchange will no longer accept requests for dispute resolution against the delivered commodities.</w:t>
            </w:r>
          </w:p>
        </w:tc>
        <w:tc>
          <w:tcPr>
            <w:tcW w:w="7370" w:type="dxa"/>
          </w:tcPr>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b/>
                <w:bCs/>
                <w:kern w:val="0"/>
                <w:sz w:val="24"/>
                <w14:ligatures w14:val="none"/>
              </w:rPr>
              <w:t>Article 56</w:t>
            </w:r>
            <w:r>
              <w:rPr>
                <w:rFonts w:hint="default" w:ascii="Times New Roman" w:hAnsi="Times New Roman" w:eastAsia="宋体" w:cs="Times New Roman"/>
                <w:b/>
                <w:bCs/>
                <w:kern w:val="0"/>
                <w:sz w:val="24"/>
                <w14:ligatures w14:val="none"/>
              </w:rPr>
              <w:tab/>
            </w:r>
            <w:r>
              <w:rPr>
                <w:rFonts w:hint="default" w:ascii="Times New Roman" w:hAnsi="Times New Roman" w:eastAsia="宋体" w:cs="Times New Roman"/>
                <w:kern w:val="0"/>
                <w:sz w:val="24"/>
                <w14:ligatures w14:val="none"/>
              </w:rPr>
              <w:t>A factory shall ensure that the quality of futures commodities loaded out meets the quality standards prescribed in the corresponding futures contracts listed on the Exchange.</w:t>
            </w:r>
          </w:p>
          <w:p>
            <w:pPr>
              <w:snapToGrid w:val="0"/>
              <w:spacing w:after="312" w:afterLines="100" w:line="276" w:lineRule="auto"/>
              <w:jc w:val="both"/>
              <w:rPr>
                <w:rFonts w:hint="default" w:ascii="Times New Roman" w:hAnsi="Times New Roman" w:eastAsia="宋体" w:cs="Times New Roman"/>
                <w:bCs/>
                <w:kern w:val="0"/>
                <w:sz w:val="24"/>
                <w14:ligatures w14:val="none"/>
              </w:rPr>
            </w:pPr>
            <w:r>
              <w:rPr>
                <w:rFonts w:hint="default" w:ascii="Times New Roman" w:hAnsi="Times New Roman" w:eastAsia="宋体" w:cs="Times New Roman"/>
                <w:kern w:val="0"/>
                <w:sz w:val="24"/>
                <w14:ligatures w14:val="none"/>
              </w:rPr>
              <w:t>When the holder of a factory standard warrant has any dispute against the quality of the delivered commodities, he/she shall apply in writing for dispute resolution to the Exchange within ten (10) business days after the physical delivery. The quality inspection opinions issued by a Designated Inspection Agency shall be provided with the application. If the application is not submitted within the specified time period, it is deemed that there is no dispute against the delivered commodities, and the Exchange will no longer accept requests for dispute resolution against the delivered commodities.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tcPr>
          <w:p>
            <w:pPr>
              <w:snapToGrid w:val="0"/>
              <w:spacing w:after="312" w:afterLines="100" w:line="276" w:lineRule="auto"/>
              <w:jc w:val="both"/>
              <w:rPr>
                <w:rFonts w:hint="default" w:ascii="Times New Roman" w:hAnsi="Times New Roman" w:eastAsia="宋体" w:cs="Times New Roman"/>
                <w:b/>
                <w:bCs/>
                <w:kern w:val="0"/>
                <w:sz w:val="24"/>
                <w14:ligatures w14:val="none"/>
              </w:rPr>
            </w:pPr>
            <w:r>
              <w:rPr>
                <w:rFonts w:hint="default" w:ascii="Times New Roman" w:hAnsi="Times New Roman" w:eastAsia="宋体" w:cs="Times New Roman"/>
                <w:b/>
                <w:bCs/>
                <w:kern w:val="0"/>
                <w:sz w:val="24"/>
                <w14:ligatures w14:val="none"/>
              </w:rPr>
              <w:t>Chapter 8</w:t>
            </w:r>
            <w:r>
              <w:rPr>
                <w:rFonts w:hint="default" w:ascii="Times New Roman" w:hAnsi="Times New Roman" w:eastAsia="宋体" w:cs="Times New Roman"/>
                <w:b/>
                <w:bCs/>
                <w:kern w:val="0"/>
                <w:sz w:val="24"/>
                <w14:ligatures w14:val="none"/>
              </w:rPr>
              <w:tab/>
            </w:r>
            <w:r>
              <w:rPr>
                <w:rFonts w:hint="default" w:ascii="Times New Roman" w:hAnsi="Times New Roman" w:eastAsia="宋体" w:cs="Times New Roman"/>
                <w:b/>
                <w:bCs/>
                <w:kern w:val="0"/>
                <w:sz w:val="24"/>
                <w14:ligatures w14:val="none"/>
              </w:rPr>
              <w:t>Management of Designated Delivery Storage Facilities</w:t>
            </w:r>
          </w:p>
        </w:tc>
        <w:tc>
          <w:tcPr>
            <w:tcW w:w="7370" w:type="dxa"/>
          </w:tcPr>
          <w:p>
            <w:pPr>
              <w:snapToGrid w:val="0"/>
              <w:spacing w:after="312" w:afterLines="100" w:line="276" w:lineRule="auto"/>
              <w:jc w:val="both"/>
              <w:rPr>
                <w:rFonts w:hint="default" w:ascii="Times New Roman" w:hAnsi="Times New Roman" w:eastAsia="宋体" w:cs="Times New Roman"/>
                <w:b/>
                <w:bCs/>
                <w:kern w:val="0"/>
                <w:sz w:val="24"/>
                <w14:ligatures w14:val="none"/>
              </w:rPr>
            </w:pPr>
            <w:r>
              <w:rPr>
                <w:rFonts w:hint="default" w:ascii="Times New Roman" w:hAnsi="Times New Roman" w:eastAsia="宋体" w:cs="Times New Roman"/>
                <w:b/>
                <w:bCs/>
                <w:kern w:val="0"/>
                <w:sz w:val="24"/>
                <w14:ligatures w14:val="none"/>
              </w:rPr>
              <w:t>Chapter 8</w:t>
            </w:r>
            <w:r>
              <w:rPr>
                <w:rFonts w:hint="default" w:ascii="Times New Roman" w:hAnsi="Times New Roman" w:eastAsia="宋体" w:cs="Times New Roman"/>
                <w:b/>
                <w:bCs/>
                <w:kern w:val="0"/>
                <w:sz w:val="24"/>
                <w14:ligatures w14:val="none"/>
              </w:rPr>
              <w:tab/>
            </w:r>
            <w:r>
              <w:rPr>
                <w:rFonts w:hint="default" w:ascii="Times New Roman" w:hAnsi="Times New Roman" w:eastAsia="宋体" w:cs="Times New Roman"/>
                <w:b/>
                <w:bCs/>
                <w:kern w:val="0"/>
                <w:sz w:val="24"/>
                <w14:ligatures w14:val="none"/>
              </w:rPr>
              <w:t>Management of Designated Delivery Storage Facilities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tcPr>
          <w:p>
            <w:pPr>
              <w:snapToGrid w:val="0"/>
              <w:spacing w:after="312" w:afterLines="100" w:line="276" w:lineRule="auto"/>
              <w:jc w:val="both"/>
              <w:rPr>
                <w:rFonts w:hint="default" w:ascii="Times New Roman" w:hAnsi="Times New Roman" w:eastAsia="宋体" w:cs="Times New Roman"/>
                <w:kern w:val="0"/>
                <w:sz w:val="24"/>
                <w:szCs w:val="20"/>
                <w14:ligatures w14:val="none"/>
              </w:rPr>
            </w:pPr>
            <w:r>
              <w:rPr>
                <w:rFonts w:hint="default" w:ascii="Times New Roman" w:hAnsi="Times New Roman" w:eastAsia="宋体" w:cs="Times New Roman"/>
                <w:b/>
                <w:kern w:val="0"/>
                <w:sz w:val="24"/>
                <w:szCs w:val="20"/>
                <w14:ligatures w14:val="none"/>
              </w:rPr>
              <w:t>Article 71</w:t>
            </w:r>
            <w:r>
              <w:rPr>
                <w:rFonts w:hint="default" w:ascii="Times New Roman" w:hAnsi="Times New Roman" w:eastAsia="宋体" w:cs="Times New Roman"/>
                <w:kern w:val="0"/>
                <w:sz w:val="24"/>
                <w:szCs w:val="20"/>
                <w14:ligatures w14:val="none"/>
              </w:rPr>
              <w:tab/>
            </w:r>
            <w:r>
              <w:rPr>
                <w:rFonts w:hint="default" w:ascii="Times New Roman" w:hAnsi="Times New Roman" w:eastAsia="宋体" w:cs="Times New Roman"/>
                <w:kern w:val="0"/>
                <w:sz w:val="24"/>
                <w:szCs w:val="20"/>
                <w14:ligatures w14:val="none"/>
              </w:rPr>
              <w:t>An applicant applying to be a Designated Delivery Storage Facility shall meet the following criteria:</w:t>
            </w:r>
          </w:p>
          <w:p>
            <w:pPr>
              <w:snapToGrid w:val="0"/>
              <w:spacing w:after="312" w:afterLines="100" w:line="276" w:lineRule="auto"/>
              <w:jc w:val="both"/>
              <w:rPr>
                <w:rFonts w:hint="default" w:ascii="Times New Roman" w:hAnsi="Times New Roman" w:eastAsia="宋体" w:cs="Times New Roman"/>
                <w:kern w:val="0"/>
                <w:sz w:val="24"/>
                <w:szCs w:val="20"/>
                <w14:ligatures w14:val="none"/>
              </w:rPr>
            </w:pPr>
            <w:r>
              <w:rPr>
                <w:rFonts w:hint="default" w:ascii="Times New Roman" w:hAnsi="Times New Roman" w:eastAsia="宋体" w:cs="Times New Roman"/>
                <w:kern w:val="0"/>
                <w:sz w:val="24"/>
                <w:szCs w:val="20"/>
                <w14:ligatures w14:val="none"/>
              </w:rPr>
              <w:t>1.</w:t>
            </w:r>
            <w:r>
              <w:rPr>
                <w:rFonts w:hint="default" w:ascii="Times New Roman" w:hAnsi="Times New Roman" w:eastAsia="宋体" w:cs="Times New Roman"/>
                <w:kern w:val="0"/>
                <w:sz w:val="24"/>
                <w:szCs w:val="20"/>
                <w14:ligatures w14:val="none"/>
              </w:rPr>
              <w:tab/>
            </w:r>
            <w:r>
              <w:rPr>
                <w:rFonts w:hint="default" w:ascii="Times New Roman" w:hAnsi="Times New Roman" w:eastAsia="宋体" w:cs="Times New Roman"/>
                <w:kern w:val="0"/>
                <w:sz w:val="24"/>
                <w:szCs w:val="20"/>
                <w14:ligatures w14:val="none"/>
              </w:rPr>
              <w:t>Having corresponding commodity storage business qualification which satisfies the local laws and regulations; having bonded storage business qualification if applying for the bonded delivery business;</w:t>
            </w:r>
          </w:p>
          <w:p>
            <w:pPr>
              <w:snapToGrid w:val="0"/>
              <w:spacing w:after="312" w:afterLines="100" w:line="276" w:lineRule="auto"/>
              <w:jc w:val="both"/>
              <w:rPr>
                <w:rFonts w:hint="default" w:ascii="Times New Roman" w:hAnsi="Times New Roman" w:eastAsia="宋体" w:cs="Times New Roman"/>
                <w:kern w:val="0"/>
                <w:sz w:val="24"/>
                <w:szCs w:val="20"/>
                <w14:ligatures w14:val="none"/>
              </w:rPr>
            </w:pPr>
            <w:r>
              <w:rPr>
                <w:rFonts w:hint="default" w:ascii="Times New Roman" w:hAnsi="Times New Roman" w:eastAsia="宋体" w:cs="Times New Roman"/>
                <w:kern w:val="0"/>
                <w:sz w:val="24"/>
                <w:szCs w:val="20"/>
                <w14:ligatures w14:val="none"/>
              </w:rPr>
              <w:t>2.</w:t>
            </w:r>
            <w:r>
              <w:rPr>
                <w:rFonts w:hint="default" w:ascii="Times New Roman" w:hAnsi="Times New Roman" w:eastAsia="宋体" w:cs="Times New Roman"/>
                <w:kern w:val="0"/>
                <w:sz w:val="24"/>
                <w:szCs w:val="20"/>
                <w14:ligatures w14:val="none"/>
              </w:rPr>
              <w:tab/>
            </w:r>
            <w:r>
              <w:rPr>
                <w:rFonts w:hint="default" w:ascii="Times New Roman" w:hAnsi="Times New Roman" w:eastAsia="宋体" w:cs="Times New Roman"/>
                <w:kern w:val="0"/>
                <w:sz w:val="24"/>
                <w:szCs w:val="20"/>
                <w14:ligatures w14:val="none"/>
              </w:rPr>
              <w:t>Having sound financial condition and comparatively strong risk resistance capacity; having the amount of registered capital and net assets as prescribed by the Exchange;</w:t>
            </w:r>
          </w:p>
          <w:p>
            <w:pPr>
              <w:snapToGrid w:val="0"/>
              <w:spacing w:after="312" w:afterLines="100" w:line="276" w:lineRule="auto"/>
              <w:jc w:val="both"/>
              <w:rPr>
                <w:rFonts w:hint="default" w:ascii="Times New Roman" w:hAnsi="Times New Roman" w:eastAsia="宋体" w:cs="Times New Roman"/>
                <w:kern w:val="0"/>
                <w:sz w:val="24"/>
                <w:szCs w:val="20"/>
                <w14:ligatures w14:val="none"/>
              </w:rPr>
            </w:pPr>
            <w:r>
              <w:rPr>
                <w:rFonts w:hint="default" w:ascii="Times New Roman" w:hAnsi="Times New Roman" w:eastAsia="宋体" w:cs="Times New Roman"/>
                <w:kern w:val="0"/>
                <w:sz w:val="24"/>
                <w:szCs w:val="20"/>
                <w14:ligatures w14:val="none"/>
              </w:rPr>
              <w:t>3.</w:t>
            </w:r>
            <w:r>
              <w:rPr>
                <w:rFonts w:hint="default" w:ascii="Times New Roman" w:hAnsi="Times New Roman" w:eastAsia="宋体" w:cs="Times New Roman"/>
                <w:kern w:val="0"/>
                <w:sz w:val="24"/>
                <w:szCs w:val="20"/>
                <w14:ligatures w14:val="none"/>
              </w:rPr>
              <w:tab/>
            </w:r>
            <w:r>
              <w:rPr>
                <w:rFonts w:hint="default" w:ascii="Times New Roman" w:hAnsi="Times New Roman" w:eastAsia="宋体" w:cs="Times New Roman"/>
                <w:kern w:val="0"/>
                <w:sz w:val="24"/>
                <w:szCs w:val="20"/>
                <w14:ligatures w14:val="none"/>
              </w:rPr>
              <w:t>Its warehouse storage capacity or factory production capacity, or trading volume satisfying the requirements prescribed by the Exchange;</w:t>
            </w:r>
          </w:p>
          <w:p>
            <w:pPr>
              <w:snapToGrid w:val="0"/>
              <w:spacing w:after="312" w:afterLines="100" w:line="276" w:lineRule="auto"/>
              <w:jc w:val="both"/>
              <w:rPr>
                <w:rFonts w:hint="default" w:ascii="Times New Roman" w:hAnsi="Times New Roman" w:eastAsia="宋体" w:cs="Times New Roman"/>
                <w:kern w:val="0"/>
                <w:sz w:val="24"/>
                <w:szCs w:val="20"/>
                <w14:ligatures w14:val="none"/>
              </w:rPr>
            </w:pPr>
            <w:r>
              <w:rPr>
                <w:rFonts w:hint="default" w:ascii="Times New Roman" w:hAnsi="Times New Roman" w:eastAsia="宋体" w:cs="Times New Roman"/>
                <w:kern w:val="0"/>
                <w:sz w:val="24"/>
                <w:szCs w:val="20"/>
                <w14:ligatures w14:val="none"/>
              </w:rPr>
              <w:t>4.</w:t>
            </w:r>
            <w:r>
              <w:rPr>
                <w:rFonts w:hint="default" w:ascii="Times New Roman" w:hAnsi="Times New Roman" w:eastAsia="宋体" w:cs="Times New Roman"/>
                <w:kern w:val="0"/>
                <w:sz w:val="24"/>
                <w:szCs w:val="20"/>
                <w14:ligatures w14:val="none"/>
              </w:rPr>
              <w:tab/>
            </w:r>
            <w:r>
              <w:rPr>
                <w:rFonts w:hint="default" w:ascii="Times New Roman" w:hAnsi="Times New Roman" w:eastAsia="宋体" w:cs="Times New Roman"/>
                <w:kern w:val="0"/>
                <w:sz w:val="24"/>
                <w:szCs w:val="20"/>
                <w14:ligatures w14:val="none"/>
              </w:rPr>
              <w:t>Having good business reputation and no record of severe violations or disqualification of the Designated Delivery Storage Facility within the last three (3) years;</w:t>
            </w:r>
          </w:p>
          <w:p>
            <w:pPr>
              <w:snapToGrid w:val="0"/>
              <w:spacing w:after="312" w:afterLines="100" w:line="276" w:lineRule="auto"/>
              <w:jc w:val="both"/>
              <w:rPr>
                <w:rFonts w:hint="default" w:ascii="Times New Roman" w:hAnsi="Times New Roman" w:eastAsia="宋体" w:cs="Times New Roman"/>
                <w:kern w:val="0"/>
                <w:sz w:val="24"/>
                <w:szCs w:val="20"/>
                <w14:ligatures w14:val="none"/>
              </w:rPr>
            </w:pPr>
            <w:r>
              <w:rPr>
                <w:rFonts w:hint="default" w:ascii="Times New Roman" w:hAnsi="Times New Roman" w:eastAsia="宋体" w:cs="Times New Roman"/>
                <w:kern w:val="0"/>
                <w:sz w:val="24"/>
                <w:szCs w:val="20"/>
                <w14:ligatures w14:val="none"/>
              </w:rPr>
              <w:t>5.</w:t>
            </w:r>
            <w:r>
              <w:rPr>
                <w:rFonts w:hint="default" w:ascii="Times New Roman" w:hAnsi="Times New Roman" w:eastAsia="宋体" w:cs="Times New Roman"/>
                <w:kern w:val="0"/>
                <w:sz w:val="24"/>
                <w:szCs w:val="20"/>
                <w14:ligatures w14:val="none"/>
              </w:rPr>
              <w:tab/>
            </w:r>
            <w:r>
              <w:rPr>
                <w:rFonts w:hint="default" w:ascii="Times New Roman" w:hAnsi="Times New Roman" w:eastAsia="宋体" w:cs="Times New Roman"/>
                <w:kern w:val="0"/>
                <w:sz w:val="24"/>
                <w:szCs w:val="20"/>
                <w14:ligatures w14:val="none"/>
              </w:rPr>
              <w:t>Having complete rules and sound systems for the production or trading of relevant commodities, and the management of their load-in, load-out and storage; security and measurement of such commodities satisfying the requirements of relevant laws, regulations and industry rules;</w:t>
            </w:r>
          </w:p>
          <w:p>
            <w:pPr>
              <w:snapToGrid w:val="0"/>
              <w:spacing w:after="312" w:afterLines="100" w:line="276" w:lineRule="auto"/>
              <w:jc w:val="both"/>
              <w:rPr>
                <w:rFonts w:hint="default" w:ascii="Times New Roman" w:hAnsi="Times New Roman" w:eastAsia="宋体" w:cs="Times New Roman"/>
                <w:kern w:val="0"/>
                <w:sz w:val="24"/>
                <w:szCs w:val="20"/>
                <w14:ligatures w14:val="none"/>
              </w:rPr>
            </w:pPr>
            <w:r>
              <w:rPr>
                <w:rFonts w:hint="default" w:ascii="Times New Roman" w:hAnsi="Times New Roman" w:eastAsia="宋体" w:cs="Times New Roman"/>
                <w:kern w:val="0"/>
                <w:sz w:val="24"/>
                <w:szCs w:val="20"/>
                <w14:ligatures w14:val="none"/>
              </w:rPr>
              <w:t>6.</w:t>
            </w:r>
            <w:r>
              <w:rPr>
                <w:rFonts w:hint="default" w:ascii="Times New Roman" w:hAnsi="Times New Roman" w:eastAsia="宋体" w:cs="Times New Roman"/>
                <w:kern w:val="0"/>
                <w:sz w:val="24"/>
                <w:szCs w:val="20"/>
                <w14:ligatures w14:val="none"/>
              </w:rPr>
              <w:tab/>
            </w:r>
            <w:r>
              <w:rPr>
                <w:rFonts w:hint="default" w:ascii="Times New Roman" w:hAnsi="Times New Roman" w:eastAsia="宋体" w:cs="Times New Roman"/>
                <w:kern w:val="0"/>
                <w:sz w:val="24"/>
                <w:szCs w:val="20"/>
                <w14:ligatures w14:val="none"/>
              </w:rPr>
              <w:t>Having a professional management team in which the senior managers shall have over five (5) years of production, trading, or storage facility management experience;</w:t>
            </w:r>
          </w:p>
          <w:p>
            <w:pPr>
              <w:snapToGrid w:val="0"/>
              <w:spacing w:after="312" w:afterLines="100" w:line="276" w:lineRule="auto"/>
              <w:jc w:val="both"/>
              <w:rPr>
                <w:rFonts w:hint="default" w:ascii="Times New Roman" w:hAnsi="Times New Roman" w:eastAsia="宋体" w:cs="Times New Roman"/>
                <w:kern w:val="0"/>
                <w:sz w:val="24"/>
                <w:szCs w:val="20"/>
                <w14:ligatures w14:val="none"/>
              </w:rPr>
            </w:pPr>
            <w:r>
              <w:rPr>
                <w:rFonts w:hint="default" w:ascii="Times New Roman" w:hAnsi="Times New Roman" w:eastAsia="宋体" w:cs="Times New Roman"/>
                <w:kern w:val="0"/>
                <w:sz w:val="24"/>
                <w:szCs w:val="20"/>
                <w14:ligatures w14:val="none"/>
              </w:rPr>
              <w:t>7.</w:t>
            </w:r>
            <w:r>
              <w:rPr>
                <w:rFonts w:hint="default" w:ascii="Times New Roman" w:hAnsi="Times New Roman" w:eastAsia="宋体" w:cs="Times New Roman"/>
                <w:kern w:val="0"/>
                <w:sz w:val="24"/>
                <w:szCs w:val="20"/>
                <w14:ligatures w14:val="none"/>
              </w:rPr>
              <w:tab/>
            </w:r>
            <w:r>
              <w:rPr>
                <w:rFonts w:hint="default" w:ascii="Times New Roman" w:hAnsi="Times New Roman" w:eastAsia="宋体" w:cs="Times New Roman"/>
                <w:kern w:val="0"/>
                <w:sz w:val="24"/>
                <w:szCs w:val="20"/>
                <w14:ligatures w14:val="none"/>
              </w:rPr>
              <w:t>Having sound transportation, as well as sound and complete terminal facilities, ports and equipment thereof;</w:t>
            </w:r>
          </w:p>
          <w:p>
            <w:pPr>
              <w:snapToGrid w:val="0"/>
              <w:spacing w:after="312" w:afterLines="100" w:line="276" w:lineRule="auto"/>
              <w:jc w:val="both"/>
              <w:rPr>
                <w:rFonts w:hint="default" w:ascii="Times New Roman" w:hAnsi="Times New Roman" w:eastAsia="宋体" w:cs="Times New Roman"/>
                <w:kern w:val="0"/>
                <w:sz w:val="24"/>
                <w:szCs w:val="20"/>
                <w14:ligatures w14:val="none"/>
              </w:rPr>
            </w:pPr>
            <w:r>
              <w:rPr>
                <w:rFonts w:hint="default" w:ascii="Times New Roman" w:hAnsi="Times New Roman" w:eastAsia="宋体" w:cs="Times New Roman"/>
                <w:kern w:val="0"/>
                <w:sz w:val="24"/>
                <w:szCs w:val="20"/>
                <w14:ligatures w14:val="none"/>
              </w:rPr>
              <w:t>8.</w:t>
            </w:r>
            <w:r>
              <w:rPr>
                <w:rFonts w:hint="default" w:ascii="Times New Roman" w:hAnsi="Times New Roman" w:eastAsia="宋体" w:cs="Times New Roman"/>
                <w:kern w:val="0"/>
                <w:sz w:val="24"/>
                <w:szCs w:val="20"/>
                <w14:ligatures w14:val="none"/>
              </w:rPr>
              <w:tab/>
            </w:r>
            <w:r>
              <w:rPr>
                <w:rFonts w:hint="default" w:ascii="Times New Roman" w:hAnsi="Times New Roman" w:eastAsia="宋体" w:cs="Times New Roman"/>
                <w:kern w:val="0"/>
                <w:sz w:val="24"/>
                <w:szCs w:val="20"/>
                <w14:ligatures w14:val="none"/>
              </w:rPr>
              <w:t>Recognizing and undertaking to abide by the General Exchange Rules, these Delivery Rules, etc.; and</w:t>
            </w:r>
          </w:p>
          <w:p>
            <w:pPr>
              <w:snapToGrid w:val="0"/>
              <w:spacing w:after="312" w:afterLines="100" w:line="276" w:lineRule="auto"/>
              <w:jc w:val="both"/>
              <w:rPr>
                <w:rFonts w:hint="default" w:ascii="Times New Roman" w:hAnsi="Times New Roman" w:eastAsia="宋体" w:cs="Times New Roman"/>
                <w:kern w:val="0"/>
                <w:sz w:val="24"/>
                <w:szCs w:val="20"/>
                <w14:ligatures w14:val="none"/>
              </w:rPr>
            </w:pPr>
            <w:r>
              <w:rPr>
                <w:rFonts w:hint="default" w:ascii="Times New Roman" w:hAnsi="Times New Roman" w:eastAsia="宋体" w:cs="Times New Roman"/>
                <w:kern w:val="0"/>
                <w:sz w:val="24"/>
                <w:szCs w:val="20"/>
                <w14:ligatures w14:val="none"/>
              </w:rPr>
              <w:t>9.</w:t>
            </w:r>
            <w:r>
              <w:rPr>
                <w:rFonts w:hint="default" w:ascii="Times New Roman" w:hAnsi="Times New Roman" w:eastAsia="宋体" w:cs="Times New Roman"/>
                <w:kern w:val="0"/>
                <w:sz w:val="24"/>
                <w:szCs w:val="20"/>
                <w14:ligatures w14:val="none"/>
              </w:rPr>
              <w:tab/>
            </w:r>
            <w:r>
              <w:rPr>
                <w:rFonts w:hint="default" w:ascii="Times New Roman" w:hAnsi="Times New Roman" w:eastAsia="宋体" w:cs="Times New Roman"/>
                <w:kern w:val="0"/>
                <w:sz w:val="24"/>
                <w:szCs w:val="20"/>
                <w14:ligatures w14:val="none"/>
              </w:rPr>
              <w:t>Other requirements prescribed by the Exchange.</w:t>
            </w:r>
          </w:p>
          <w:p>
            <w:pPr>
              <w:snapToGrid w:val="0"/>
              <w:spacing w:after="312" w:afterLines="100" w:line="276" w:lineRule="auto"/>
              <w:jc w:val="both"/>
              <w:rPr>
                <w:rFonts w:hint="default" w:ascii="Times New Roman" w:hAnsi="Times New Roman" w:eastAsia="宋体" w:cs="Times New Roman"/>
                <w:b/>
                <w:bCs/>
                <w:color w:val="EE0000"/>
                <w:kern w:val="0"/>
                <w:sz w:val="24"/>
                <w:szCs w:val="20"/>
                <w14:ligatures w14:val="none"/>
              </w:rPr>
            </w:pPr>
            <w:r>
              <w:rPr>
                <w:rFonts w:hint="default" w:ascii="Times New Roman" w:hAnsi="Times New Roman" w:eastAsia="宋体" w:cs="Times New Roman"/>
                <w:b/>
                <w:bCs/>
                <w:color w:val="EE0000"/>
                <w:kern w:val="0"/>
                <w:sz w:val="24"/>
                <w:szCs w:val="20"/>
                <w14:ligatures w14:val="none"/>
              </w:rPr>
              <w:t>In addition to the criteria specified in items 1</w:t>
            </w:r>
            <w:r>
              <w:rPr>
                <w:rFonts w:hint="default" w:ascii="Times New Roman" w:hAnsi="Times New Roman" w:eastAsia="宋体" w:cs="Times New Roman"/>
                <w:b/>
                <w:bCs/>
                <w:color w:val="EE0000"/>
                <w:kern w:val="0"/>
                <w:sz w:val="24"/>
                <w:szCs w:val="20"/>
                <w:lang w:val="en-US" w:eastAsia="zh-CN"/>
                <w14:ligatures w14:val="none"/>
              </w:rPr>
              <w:t xml:space="preserve"> </w:t>
            </w:r>
            <w:r>
              <w:rPr>
                <w:rFonts w:hint="default" w:ascii="Times New Roman" w:hAnsi="Times New Roman" w:eastAsia="宋体" w:cs="Times New Roman"/>
                <w:b/>
                <w:bCs/>
                <w:color w:val="EE0000"/>
                <w:kern w:val="0"/>
                <w:sz w:val="24"/>
                <w:szCs w:val="20"/>
                <w14:ligatures w14:val="none"/>
              </w:rPr>
              <w:t>to 9</w:t>
            </w:r>
            <w:r>
              <w:rPr>
                <w:rFonts w:hint="default" w:ascii="Times New Roman" w:hAnsi="Times New Roman" w:eastAsia="宋体" w:cs="Times New Roman"/>
                <w:b/>
                <w:bCs/>
                <w:color w:val="EE0000"/>
                <w:kern w:val="0"/>
                <w:sz w:val="24"/>
                <w:szCs w:val="20"/>
                <w:lang w:val="en-US" w:eastAsia="zh-CN"/>
                <w14:ligatures w14:val="none"/>
              </w:rPr>
              <w:t xml:space="preserve"> </w:t>
            </w:r>
            <w:r>
              <w:rPr>
                <w:rFonts w:hint="default" w:ascii="Times New Roman" w:hAnsi="Times New Roman" w:eastAsia="宋体" w:cs="Times New Roman"/>
                <w:b/>
                <w:bCs/>
                <w:color w:val="EE0000"/>
                <w:kern w:val="0"/>
                <w:sz w:val="24"/>
                <w:szCs w:val="20"/>
                <w14:ligatures w14:val="none"/>
              </w:rPr>
              <w:t>of the first paragraph of this Article, an applicant applying to be an overseas Designated Delivery Storage Facility shall also meet the following criteria:</w:t>
            </w:r>
          </w:p>
          <w:p>
            <w:pPr>
              <w:snapToGrid w:val="0"/>
              <w:spacing w:after="312" w:afterLines="100" w:line="276" w:lineRule="auto"/>
              <w:jc w:val="both"/>
              <w:rPr>
                <w:rFonts w:hint="default" w:ascii="Times New Roman" w:hAnsi="Times New Roman" w:eastAsia="宋体" w:cs="Times New Roman"/>
                <w:b/>
                <w:bCs/>
                <w:color w:val="EE0000"/>
                <w:kern w:val="0"/>
                <w:sz w:val="24"/>
                <w:szCs w:val="20"/>
                <w14:ligatures w14:val="none"/>
              </w:rPr>
            </w:pPr>
            <w:r>
              <w:rPr>
                <w:rFonts w:hint="default" w:ascii="Times New Roman" w:hAnsi="Times New Roman" w:eastAsia="宋体" w:cs="Times New Roman"/>
                <w:b/>
                <w:bCs/>
                <w:color w:val="EE0000"/>
                <w:kern w:val="0"/>
                <w:sz w:val="24"/>
                <w:szCs w:val="20"/>
                <w14:ligatures w14:val="none"/>
              </w:rPr>
              <w:t>(1) Its selection and setup shall meet the requirements for, among others, the functioning, smooth trading, and delivery safety of the relevant futures products; and</w:t>
            </w:r>
          </w:p>
          <w:p>
            <w:pPr>
              <w:snapToGrid w:val="0"/>
              <w:spacing w:after="312" w:afterLines="100" w:line="276" w:lineRule="auto"/>
              <w:jc w:val="both"/>
              <w:rPr>
                <w:rFonts w:hint="default" w:ascii="Times New Roman" w:hAnsi="Times New Roman" w:eastAsia="宋体" w:cs="Times New Roman"/>
                <w:b/>
                <w:bCs/>
                <w:color w:val="EE0000"/>
                <w:kern w:val="0"/>
                <w:sz w:val="24"/>
                <w:szCs w:val="20"/>
                <w14:ligatures w14:val="none"/>
              </w:rPr>
            </w:pPr>
            <w:r>
              <w:rPr>
                <w:rFonts w:hint="default" w:ascii="Times New Roman" w:hAnsi="Times New Roman" w:eastAsia="宋体" w:cs="Times New Roman"/>
                <w:b/>
                <w:bCs/>
                <w:color w:val="EE0000"/>
                <w:kern w:val="0"/>
                <w:sz w:val="24"/>
                <w:szCs w:val="20"/>
                <w14:ligatures w14:val="none"/>
              </w:rPr>
              <w:t>(2) It shall have the personnel, business systems, and hardware facilities necessary for conducting overseas delivery operations.</w:t>
            </w:r>
          </w:p>
          <w:p>
            <w:pPr>
              <w:snapToGrid w:val="0"/>
              <w:spacing w:after="312" w:afterLines="100" w:line="276" w:lineRule="auto"/>
              <w:jc w:val="both"/>
              <w:rPr>
                <w:rFonts w:hint="default" w:ascii="Times New Roman" w:hAnsi="Times New Roman" w:eastAsia="宋体" w:cs="Times New Roman"/>
                <w:b/>
                <w:bCs/>
                <w:kern w:val="0"/>
                <w:sz w:val="24"/>
                <w14:ligatures w14:val="none"/>
              </w:rPr>
            </w:pPr>
            <w:r>
              <w:rPr>
                <w:rFonts w:hint="default" w:ascii="Times New Roman" w:hAnsi="Times New Roman" w:eastAsia="宋体" w:cs="Times New Roman"/>
                <w:kern w:val="0"/>
                <w:sz w:val="24"/>
                <w:szCs w:val="20"/>
                <w14:ligatures w14:val="none"/>
              </w:rPr>
              <w:t>The Exchange is entitled to waive one or more conditions above depending on the financial condition, risk management capabilities and soundness of operation of the applicant.</w:t>
            </w:r>
          </w:p>
        </w:tc>
        <w:tc>
          <w:tcPr>
            <w:tcW w:w="7370" w:type="dxa"/>
          </w:tcPr>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b/>
                <w:bCs/>
                <w:kern w:val="0"/>
                <w:sz w:val="24"/>
                <w14:ligatures w14:val="none"/>
              </w:rPr>
              <w:t>Article 71</w:t>
            </w:r>
            <w:r>
              <w:rPr>
                <w:rFonts w:hint="default" w:ascii="Times New Roman" w:hAnsi="Times New Roman" w:eastAsia="宋体" w:cs="Times New Roman"/>
                <w:b/>
                <w:bCs/>
                <w:kern w:val="0"/>
                <w:sz w:val="24"/>
                <w14:ligatures w14:val="none"/>
              </w:rPr>
              <w:tab/>
            </w:r>
            <w:r>
              <w:rPr>
                <w:rFonts w:hint="default" w:ascii="Times New Roman" w:hAnsi="Times New Roman" w:eastAsia="宋体" w:cs="Times New Roman"/>
                <w:kern w:val="0"/>
                <w:sz w:val="24"/>
                <w14:ligatures w14:val="none"/>
              </w:rPr>
              <w:t>An applicant applying to be a Designated Delivery Storage Facility shall meet the following criteria:</w:t>
            </w:r>
          </w:p>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kern w:val="0"/>
                <w:sz w:val="24"/>
                <w14:ligatures w14:val="none"/>
              </w:rPr>
              <w:t>1.</w:t>
            </w:r>
            <w:r>
              <w:rPr>
                <w:rFonts w:hint="default" w:ascii="Times New Roman" w:hAnsi="Times New Roman" w:eastAsia="宋体" w:cs="Times New Roman"/>
                <w:kern w:val="0"/>
                <w:sz w:val="24"/>
                <w14:ligatures w14:val="none"/>
              </w:rPr>
              <w:tab/>
            </w:r>
            <w:r>
              <w:rPr>
                <w:rFonts w:hint="default" w:ascii="Times New Roman" w:hAnsi="Times New Roman" w:eastAsia="宋体" w:cs="Times New Roman"/>
                <w:kern w:val="0"/>
                <w:sz w:val="24"/>
                <w14:ligatures w14:val="none"/>
              </w:rPr>
              <w:t>Having corresponding commodity storage business qualification which satisfies the local laws and regulations; having bonded storage business qualification if applying for the bonded delivery business;</w:t>
            </w:r>
          </w:p>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kern w:val="0"/>
                <w:sz w:val="24"/>
                <w14:ligatures w14:val="none"/>
              </w:rPr>
              <w:t>2.</w:t>
            </w:r>
            <w:r>
              <w:rPr>
                <w:rFonts w:hint="default" w:ascii="Times New Roman" w:hAnsi="Times New Roman" w:eastAsia="宋体" w:cs="Times New Roman"/>
                <w:kern w:val="0"/>
                <w:sz w:val="24"/>
                <w14:ligatures w14:val="none"/>
              </w:rPr>
              <w:tab/>
            </w:r>
            <w:r>
              <w:rPr>
                <w:rFonts w:hint="default" w:ascii="Times New Roman" w:hAnsi="Times New Roman" w:eastAsia="宋体" w:cs="Times New Roman"/>
                <w:kern w:val="0"/>
                <w:sz w:val="24"/>
                <w14:ligatures w14:val="none"/>
              </w:rPr>
              <w:t>Having sound financial condition and comparatively strong risk resistance capacity; having the amount of registered capital and net assets as prescribed by the Exchange;</w:t>
            </w:r>
          </w:p>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kern w:val="0"/>
                <w:sz w:val="24"/>
                <w14:ligatures w14:val="none"/>
              </w:rPr>
              <w:t>3.</w:t>
            </w:r>
            <w:r>
              <w:rPr>
                <w:rFonts w:hint="default" w:ascii="Times New Roman" w:hAnsi="Times New Roman" w:eastAsia="宋体" w:cs="Times New Roman"/>
                <w:kern w:val="0"/>
                <w:sz w:val="24"/>
                <w14:ligatures w14:val="none"/>
              </w:rPr>
              <w:tab/>
            </w:r>
            <w:r>
              <w:rPr>
                <w:rFonts w:hint="default" w:ascii="Times New Roman" w:hAnsi="Times New Roman" w:eastAsia="宋体" w:cs="Times New Roman"/>
                <w:kern w:val="0"/>
                <w:sz w:val="24"/>
                <w14:ligatures w14:val="none"/>
              </w:rPr>
              <w:t>Its warehouse storage capacity or factory production capacity, or trading volume satisfying the requirements prescribed by the Exchange;</w:t>
            </w:r>
          </w:p>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kern w:val="0"/>
                <w:sz w:val="24"/>
                <w14:ligatures w14:val="none"/>
              </w:rPr>
              <w:t>4.</w:t>
            </w:r>
            <w:r>
              <w:rPr>
                <w:rFonts w:hint="default" w:ascii="Times New Roman" w:hAnsi="Times New Roman" w:eastAsia="宋体" w:cs="Times New Roman"/>
                <w:kern w:val="0"/>
                <w:sz w:val="24"/>
                <w14:ligatures w14:val="none"/>
              </w:rPr>
              <w:tab/>
            </w:r>
            <w:r>
              <w:rPr>
                <w:rFonts w:hint="default" w:ascii="Times New Roman" w:hAnsi="Times New Roman" w:eastAsia="宋体" w:cs="Times New Roman"/>
                <w:kern w:val="0"/>
                <w:sz w:val="24"/>
                <w14:ligatures w14:val="none"/>
              </w:rPr>
              <w:t>Having good business reputation and no record of severe violations or disqualification of the Designated Delivery Storage Facility within the last three (3) years;</w:t>
            </w:r>
          </w:p>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kern w:val="0"/>
                <w:sz w:val="24"/>
                <w14:ligatures w14:val="none"/>
              </w:rPr>
              <w:t>5.</w:t>
            </w:r>
            <w:r>
              <w:rPr>
                <w:rFonts w:hint="default" w:ascii="Times New Roman" w:hAnsi="Times New Roman" w:eastAsia="宋体" w:cs="Times New Roman"/>
                <w:kern w:val="0"/>
                <w:sz w:val="24"/>
                <w14:ligatures w14:val="none"/>
              </w:rPr>
              <w:tab/>
            </w:r>
            <w:r>
              <w:rPr>
                <w:rFonts w:hint="default" w:ascii="Times New Roman" w:hAnsi="Times New Roman" w:eastAsia="宋体" w:cs="Times New Roman"/>
                <w:kern w:val="0"/>
                <w:sz w:val="24"/>
                <w14:ligatures w14:val="none"/>
              </w:rPr>
              <w:t>Having complete rules and sound systems for the production or trading of relevant commodities, and the management of their load-in, load-out and storage; security and measurement of such commodities satisfying the requirements of relevant laws, regulations and industry rules;</w:t>
            </w:r>
          </w:p>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kern w:val="0"/>
                <w:sz w:val="24"/>
                <w14:ligatures w14:val="none"/>
              </w:rPr>
              <w:t>6.</w:t>
            </w:r>
            <w:r>
              <w:rPr>
                <w:rFonts w:hint="default" w:ascii="Times New Roman" w:hAnsi="Times New Roman" w:eastAsia="宋体" w:cs="Times New Roman"/>
                <w:kern w:val="0"/>
                <w:sz w:val="24"/>
                <w14:ligatures w14:val="none"/>
              </w:rPr>
              <w:tab/>
            </w:r>
            <w:r>
              <w:rPr>
                <w:rFonts w:hint="default" w:ascii="Times New Roman" w:hAnsi="Times New Roman" w:eastAsia="宋体" w:cs="Times New Roman"/>
                <w:kern w:val="0"/>
                <w:sz w:val="24"/>
                <w14:ligatures w14:val="none"/>
              </w:rPr>
              <w:t>Having a professional management team in which the senior managers shall have over five (5) years of production, trading, or storage facility management experience;</w:t>
            </w:r>
          </w:p>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kern w:val="0"/>
                <w:sz w:val="24"/>
                <w14:ligatures w14:val="none"/>
              </w:rPr>
              <w:t>7.</w:t>
            </w:r>
            <w:r>
              <w:rPr>
                <w:rFonts w:hint="default" w:ascii="Times New Roman" w:hAnsi="Times New Roman" w:eastAsia="宋体" w:cs="Times New Roman"/>
                <w:kern w:val="0"/>
                <w:sz w:val="24"/>
                <w14:ligatures w14:val="none"/>
              </w:rPr>
              <w:tab/>
            </w:r>
            <w:r>
              <w:rPr>
                <w:rFonts w:hint="default" w:ascii="Times New Roman" w:hAnsi="Times New Roman" w:eastAsia="宋体" w:cs="Times New Roman"/>
                <w:kern w:val="0"/>
                <w:sz w:val="24"/>
                <w14:ligatures w14:val="none"/>
              </w:rPr>
              <w:t>Having sound transportation, as well as sound and complete terminal facilities, ports and equipment thereof;</w:t>
            </w:r>
          </w:p>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kern w:val="0"/>
                <w:sz w:val="24"/>
                <w14:ligatures w14:val="none"/>
              </w:rPr>
              <w:t>8.</w:t>
            </w:r>
            <w:r>
              <w:rPr>
                <w:rFonts w:hint="default" w:ascii="Times New Roman" w:hAnsi="Times New Roman" w:eastAsia="宋体" w:cs="Times New Roman"/>
                <w:kern w:val="0"/>
                <w:sz w:val="24"/>
                <w14:ligatures w14:val="none"/>
              </w:rPr>
              <w:tab/>
            </w:r>
            <w:r>
              <w:rPr>
                <w:rFonts w:hint="default" w:ascii="Times New Roman" w:hAnsi="Times New Roman" w:eastAsia="宋体" w:cs="Times New Roman"/>
                <w:kern w:val="0"/>
                <w:sz w:val="24"/>
                <w14:ligatures w14:val="none"/>
              </w:rPr>
              <w:t>Recognizing and undertaking to abide by the General Exchange Rules, these Delivery Rules, etc.; and</w:t>
            </w:r>
          </w:p>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kern w:val="0"/>
                <w:sz w:val="24"/>
                <w14:ligatures w14:val="none"/>
              </w:rPr>
              <w:t>9.</w:t>
            </w:r>
            <w:r>
              <w:rPr>
                <w:rFonts w:hint="default" w:ascii="Times New Roman" w:hAnsi="Times New Roman" w:eastAsia="宋体" w:cs="Times New Roman"/>
                <w:kern w:val="0"/>
                <w:sz w:val="24"/>
                <w14:ligatures w14:val="none"/>
              </w:rPr>
              <w:tab/>
            </w:r>
            <w:r>
              <w:rPr>
                <w:rFonts w:hint="default" w:ascii="Times New Roman" w:hAnsi="Times New Roman" w:eastAsia="宋体" w:cs="Times New Roman"/>
                <w:kern w:val="0"/>
                <w:sz w:val="24"/>
                <w14:ligatures w14:val="none"/>
              </w:rPr>
              <w:t>Other requirements prescribed by the Exchange.</w:t>
            </w:r>
          </w:p>
          <w:p>
            <w:pPr>
              <w:snapToGrid w:val="0"/>
              <w:spacing w:after="312" w:afterLines="100" w:line="276" w:lineRule="auto"/>
              <w:jc w:val="both"/>
              <w:rPr>
                <w:rFonts w:hint="default" w:ascii="Times New Roman" w:hAnsi="Times New Roman" w:eastAsia="宋体" w:cs="Times New Roman"/>
                <w:b/>
                <w:bCs/>
                <w:kern w:val="0"/>
                <w:sz w:val="24"/>
                <w14:ligatures w14:val="none"/>
              </w:rPr>
            </w:pPr>
            <w:r>
              <w:rPr>
                <w:rFonts w:hint="default" w:ascii="Times New Roman" w:hAnsi="Times New Roman" w:eastAsia="宋体" w:cs="Times New Roman"/>
                <w:kern w:val="0"/>
                <w:sz w:val="24"/>
                <w14:ligatures w14:val="none"/>
              </w:rPr>
              <w:t>The Exchange is entitled to waive one or more conditions above depending on the financial condition, risk management capabilities and soundness of operation of the applicant.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tcPr>
          <w:p>
            <w:pPr>
              <w:snapToGrid w:val="0"/>
              <w:spacing w:after="312" w:afterLines="100" w:line="276" w:lineRule="auto"/>
              <w:jc w:val="both"/>
              <w:rPr>
                <w:rFonts w:hint="default" w:ascii="Times New Roman" w:hAnsi="Times New Roman" w:eastAsia="宋体" w:cs="Times New Roman"/>
                <w:b/>
                <w:bCs/>
                <w:kern w:val="0"/>
                <w:sz w:val="24"/>
                <w14:ligatures w14:val="none"/>
              </w:rPr>
            </w:pPr>
            <w:r>
              <w:rPr>
                <w:rFonts w:hint="default" w:ascii="Times New Roman" w:hAnsi="Times New Roman" w:eastAsia="宋体" w:cs="Times New Roman"/>
                <w:b/>
                <w:bCs/>
                <w:kern w:val="0"/>
                <w:sz w:val="24"/>
                <w14:ligatures w14:val="none"/>
              </w:rPr>
              <w:t>Chapter 13</w:t>
            </w:r>
            <w:r>
              <w:rPr>
                <w:rFonts w:hint="default" w:ascii="Times New Roman" w:hAnsi="Times New Roman" w:eastAsia="宋体" w:cs="Times New Roman"/>
                <w:b/>
                <w:bCs/>
                <w:kern w:val="0"/>
                <w:sz w:val="24"/>
                <w14:ligatures w14:val="none"/>
              </w:rPr>
              <w:tab/>
            </w:r>
            <w:r>
              <w:rPr>
                <w:rFonts w:hint="default" w:ascii="Times New Roman" w:hAnsi="Times New Roman" w:eastAsia="宋体" w:cs="Times New Roman"/>
                <w:b/>
                <w:bCs/>
                <w:kern w:val="0"/>
                <w:sz w:val="24"/>
                <w14:ligatures w14:val="none"/>
              </w:rPr>
              <w:t>Delivery of TSR 20 Futures Contract</w:t>
            </w:r>
          </w:p>
        </w:tc>
        <w:tc>
          <w:tcPr>
            <w:tcW w:w="7370" w:type="dxa"/>
          </w:tcPr>
          <w:p>
            <w:pPr>
              <w:snapToGrid w:val="0"/>
              <w:spacing w:after="312" w:afterLines="100" w:line="276" w:lineRule="auto"/>
              <w:jc w:val="both"/>
              <w:rPr>
                <w:rFonts w:hint="default" w:ascii="Times New Roman" w:hAnsi="Times New Roman" w:eastAsia="宋体" w:cs="Times New Roman"/>
                <w:b/>
                <w:bCs/>
                <w:kern w:val="0"/>
                <w:sz w:val="24"/>
                <w14:ligatures w14:val="none"/>
              </w:rPr>
            </w:pPr>
            <w:r>
              <w:rPr>
                <w:rFonts w:hint="default" w:ascii="Times New Roman" w:hAnsi="Times New Roman" w:eastAsia="宋体" w:cs="Times New Roman"/>
                <w:b/>
                <w:bCs/>
                <w:kern w:val="0"/>
                <w:sz w:val="24"/>
                <w14:ligatures w14:val="none"/>
              </w:rPr>
              <w:t>Chapter 13</w:t>
            </w:r>
            <w:r>
              <w:rPr>
                <w:rFonts w:hint="default" w:ascii="Times New Roman" w:hAnsi="Times New Roman" w:eastAsia="宋体" w:cs="Times New Roman"/>
                <w:b/>
                <w:bCs/>
                <w:kern w:val="0"/>
                <w:sz w:val="24"/>
                <w14:ligatures w14:val="none"/>
              </w:rPr>
              <w:tab/>
            </w:r>
            <w:r>
              <w:rPr>
                <w:rFonts w:hint="default" w:ascii="Times New Roman" w:hAnsi="Times New Roman" w:eastAsia="宋体" w:cs="Times New Roman"/>
                <w:b/>
                <w:bCs/>
                <w:kern w:val="0"/>
                <w:sz w:val="24"/>
                <w14:ligatures w14:val="none"/>
              </w:rPr>
              <w:t>Delivery of TSR 20 Futures Contract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tcPr>
          <w:p>
            <w:pPr>
              <w:snapToGrid w:val="0"/>
              <w:spacing w:after="312" w:afterLines="100" w:line="276" w:lineRule="auto"/>
              <w:jc w:val="both"/>
              <w:rPr>
                <w:rFonts w:hint="eastAsia" w:ascii="Times New Roman" w:hAnsi="Times New Roman" w:eastAsia="宋体" w:cs="Times New Roman"/>
                <w:bCs/>
                <w:kern w:val="0"/>
                <w:sz w:val="24"/>
                <w:lang w:val="en-US" w:eastAsia="zh-CN"/>
                <w14:ligatures w14:val="none"/>
              </w:rPr>
            </w:pPr>
            <w:r>
              <w:rPr>
                <w:rFonts w:hint="default" w:ascii="Times New Roman" w:hAnsi="Times New Roman" w:eastAsia="宋体" w:cs="Times New Roman"/>
                <w:b/>
                <w:bCs/>
                <w:kern w:val="0"/>
                <w:sz w:val="24"/>
                <w14:ligatures w14:val="none"/>
              </w:rPr>
              <w:t>Article 179</w:t>
            </w:r>
            <w:r>
              <w:rPr>
                <w:rFonts w:hint="default" w:ascii="Times New Roman" w:hAnsi="Times New Roman" w:eastAsia="宋体" w:cs="Times New Roman"/>
                <w:b/>
                <w:bCs/>
                <w:kern w:val="0"/>
                <w:sz w:val="24"/>
                <w14:ligatures w14:val="none"/>
              </w:rPr>
              <w:tab/>
            </w:r>
            <w:r>
              <w:rPr>
                <w:rFonts w:hint="default" w:ascii="Times New Roman" w:hAnsi="Times New Roman" w:eastAsia="宋体" w:cs="Times New Roman"/>
                <w:bCs/>
                <w:kern w:val="0"/>
                <w:sz w:val="24"/>
                <w14:ligatures w14:val="none"/>
              </w:rPr>
              <w:t>The TSR 20 futures contract adopts</w:t>
            </w:r>
            <w:r>
              <w:rPr>
                <w:rFonts w:hint="default" w:ascii="Times New Roman" w:hAnsi="Times New Roman" w:eastAsia="宋体" w:cs="Times New Roman"/>
                <w:bCs/>
                <w:strike w:val="0"/>
                <w:dstrike/>
                <w:kern w:val="0"/>
                <w:sz w:val="24"/>
                <w14:ligatures w14:val="none"/>
              </w:rPr>
              <w:t xml:space="preserve"> physical delivery</w:t>
            </w:r>
            <w:r>
              <w:rPr>
                <w:rFonts w:hint="default" w:ascii="Times New Roman" w:hAnsi="Times New Roman" w:eastAsia="宋体" w:cs="Times New Roman"/>
                <w:bCs/>
                <w:kern w:val="0"/>
                <w:sz w:val="24"/>
                <w14:ligatures w14:val="none"/>
              </w:rPr>
              <w:t xml:space="preserve">, </w:t>
            </w:r>
            <w:r>
              <w:rPr>
                <w:rFonts w:hint="eastAsia" w:ascii="Times New Roman" w:hAnsi="Times New Roman" w:eastAsia="等线" w:cs="Times New Roman"/>
                <w:b/>
                <w:color w:val="EE0000"/>
                <w:kern w:val="0"/>
                <w:sz w:val="24"/>
                <w:lang w:val="en-US" w:eastAsia="zh-CN"/>
              </w:rPr>
              <w:t xml:space="preserve"> </w:t>
            </w:r>
            <w:r>
              <w:rPr>
                <w:rFonts w:hint="default" w:ascii="Times New Roman" w:hAnsi="Times New Roman" w:eastAsia="宋体" w:cs="Times New Roman"/>
                <w:bCs/>
                <w:kern w:val="0"/>
                <w:sz w:val="24"/>
                <w14:ligatures w14:val="none"/>
              </w:rPr>
              <w:t>bonded delivery</w:t>
            </w:r>
            <w:r>
              <w:rPr>
                <w:rFonts w:hint="default" w:ascii="Times New Roman" w:hAnsi="Times New Roman" w:eastAsia="宋体" w:cs="Times New Roman"/>
                <w:bCs/>
                <w:dstrike/>
                <w:kern w:val="0"/>
                <w:sz w:val="24"/>
                <w14:ligatures w14:val="none"/>
              </w:rPr>
              <w:t xml:space="preserve"> and</w:t>
            </w:r>
            <w:r>
              <w:rPr>
                <w:rFonts w:hint="default" w:ascii="Times New Roman" w:hAnsi="Times New Roman" w:eastAsia="宋体" w:cs="Times New Roman"/>
                <w:b/>
                <w:color w:val="EE0000"/>
                <w:kern w:val="0"/>
                <w:sz w:val="24"/>
                <w14:ligatures w14:val="none"/>
              </w:rPr>
              <w:t xml:space="preserve">, </w:t>
            </w:r>
            <w:r>
              <w:rPr>
                <w:rFonts w:hint="default" w:ascii="Times New Roman" w:hAnsi="Times New Roman" w:eastAsia="等线" w:cs="Times New Roman"/>
                <w:b/>
                <w:color w:val="EE0000"/>
                <w:kern w:val="0"/>
                <w:sz w:val="24"/>
              </w:rPr>
              <w:t>overseas delivery</w:t>
            </w:r>
            <w:r>
              <w:rPr>
                <w:rFonts w:hint="default" w:ascii="Times New Roman" w:hAnsi="Times New Roman" w:eastAsia="等线" w:cs="Times New Roman"/>
                <w:kern w:val="0"/>
                <w:sz w:val="24"/>
              </w:rPr>
              <w:t xml:space="preserve">, </w:t>
            </w:r>
            <w:r>
              <w:rPr>
                <w:rFonts w:hint="default" w:ascii="Times New Roman" w:hAnsi="Times New Roman" w:eastAsia="宋体" w:cs="Times New Roman"/>
                <w:bCs/>
                <w:kern w:val="0"/>
                <w:sz w:val="24"/>
                <w14:ligatures w14:val="none"/>
              </w:rPr>
              <w:t>warehouse deliver</w:t>
            </w:r>
            <w:r>
              <w:rPr>
                <w:rFonts w:hint="default" w:ascii="Times New Roman" w:hAnsi="Times New Roman" w:eastAsia="宋体" w:cs="Times New Roman"/>
                <w:bCs/>
                <w:color w:val="000000" w:themeColor="text1"/>
                <w:kern w:val="0"/>
                <w:sz w:val="24"/>
                <w14:textFill>
                  <w14:solidFill>
                    <w14:schemeClr w14:val="tx1"/>
                  </w14:solidFill>
                </w14:textFill>
                <w14:ligatures w14:val="none"/>
              </w:rPr>
              <w:t>y</w:t>
            </w:r>
            <w:r>
              <w:rPr>
                <w:rFonts w:hint="default" w:ascii="Times New Roman" w:hAnsi="Times New Roman" w:eastAsia="宋体" w:cs="Times New Roman"/>
                <w:b/>
                <w:color w:val="EE0000"/>
                <w:kern w:val="0"/>
                <w:sz w:val="24"/>
                <w:szCs w:val="20"/>
                <w14:ligatures w14:val="none"/>
              </w:rPr>
              <w:t>, and factory delivery</w:t>
            </w:r>
            <w:r>
              <w:rPr>
                <w:rFonts w:hint="eastAsia" w:ascii="Times New Roman" w:hAnsi="Times New Roman" w:eastAsia="宋体" w:cs="Times New Roman"/>
                <w:b/>
                <w:color w:val="EE0000"/>
                <w:kern w:val="0"/>
                <w:sz w:val="24"/>
                <w:szCs w:val="20"/>
                <w:lang w:val="en-US" w:eastAsia="zh-CN"/>
                <w14:ligatures w14:val="none"/>
              </w:rPr>
              <w:t xml:space="preserve"> in </w:t>
            </w:r>
            <w:r>
              <w:rPr>
                <w:rFonts w:hint="default" w:ascii="Times New Roman" w:hAnsi="Times New Roman" w:eastAsia="宋体" w:cs="Times New Roman"/>
                <w:b/>
                <w:color w:val="EE0000"/>
                <w:kern w:val="0"/>
                <w:sz w:val="24"/>
                <w:szCs w:val="20"/>
                <w:lang w:val="en-US" w:eastAsia="zh-CN"/>
                <w14:ligatures w14:val="none"/>
              </w:rPr>
              <w:t>physical delivery</w:t>
            </w:r>
            <w:r>
              <w:rPr>
                <w:rFonts w:hint="eastAsia" w:ascii="Times New Roman" w:hAnsi="Times New Roman" w:eastAsia="宋体" w:cs="Times New Roman"/>
                <w:bCs/>
                <w:kern w:val="0"/>
                <w:sz w:val="24"/>
                <w:lang w:val="en-US" w:eastAsia="zh-CN"/>
                <w14:ligatures w14:val="none"/>
              </w:rPr>
              <w:t>.</w:t>
            </w:r>
          </w:p>
          <w:p>
            <w:pPr>
              <w:snapToGrid w:val="0"/>
              <w:spacing w:after="312" w:afterLines="100" w:line="276" w:lineRule="auto"/>
              <w:jc w:val="both"/>
              <w:rPr>
                <w:rFonts w:hint="default" w:ascii="Times New Roman" w:hAnsi="Times New Roman" w:eastAsia="宋体" w:cs="Times New Roman"/>
                <w:b/>
                <w:bCs/>
                <w:kern w:val="0"/>
                <w:sz w:val="24"/>
                <w14:ligatures w14:val="none"/>
              </w:rPr>
            </w:pPr>
            <w:r>
              <w:rPr>
                <w:rFonts w:hint="default" w:ascii="Times New Roman" w:hAnsi="Times New Roman" w:eastAsia="等线" w:cs="Times New Roman"/>
                <w:b/>
                <w:bCs/>
                <w:color w:val="EE0000"/>
                <w:kern w:val="0"/>
                <w:sz w:val="24"/>
              </w:rPr>
              <w:t>The specific procedures for warehouse delivery and factory delivery of the TSR 20 futures contract shall be governed by Chapters 4 and 5 of these Delivery Rules, respectively.</w:t>
            </w:r>
          </w:p>
        </w:tc>
        <w:tc>
          <w:tcPr>
            <w:tcW w:w="7370" w:type="dxa"/>
          </w:tcPr>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b/>
                <w:bCs/>
                <w:kern w:val="0"/>
                <w:sz w:val="24"/>
                <w14:ligatures w14:val="none"/>
              </w:rPr>
              <w:t>Article 179</w:t>
            </w:r>
            <w:r>
              <w:rPr>
                <w:rFonts w:hint="default" w:ascii="Times New Roman" w:hAnsi="Times New Roman" w:eastAsia="宋体" w:cs="Times New Roman"/>
                <w:b/>
                <w:bCs/>
                <w:kern w:val="0"/>
                <w:sz w:val="24"/>
                <w14:ligatures w14:val="none"/>
              </w:rPr>
              <w:tab/>
            </w:r>
            <w:r>
              <w:rPr>
                <w:rFonts w:hint="default" w:ascii="Times New Roman" w:hAnsi="Times New Roman" w:eastAsia="宋体" w:cs="Times New Roman"/>
                <w:kern w:val="0"/>
                <w:sz w:val="24"/>
                <w14:ligatures w14:val="none"/>
              </w:rPr>
              <w:t>The TSR 20 futures contract adopts physical delivery, bonded delivery and warehouse delivery.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tcPr>
          <w:p>
            <w:pPr>
              <w:snapToGrid w:val="0"/>
              <w:spacing w:after="312" w:afterLines="100" w:line="276" w:lineRule="auto"/>
              <w:jc w:val="both"/>
              <w:rPr>
                <w:rFonts w:hint="default" w:ascii="Times New Roman" w:hAnsi="Times New Roman" w:eastAsia="等线" w:cs="Times New Roman"/>
                <w:kern w:val="0"/>
                <w:sz w:val="24"/>
              </w:rPr>
            </w:pPr>
            <w:r>
              <w:rPr>
                <w:rFonts w:hint="default" w:ascii="Times New Roman" w:hAnsi="Times New Roman" w:eastAsia="等线" w:cs="Times New Roman"/>
                <w:b/>
                <w:kern w:val="0"/>
                <w:sz w:val="24"/>
              </w:rPr>
              <w:t>Article 188</w:t>
            </w:r>
            <w:r>
              <w:rPr>
                <w:rFonts w:hint="default" w:ascii="Times New Roman" w:hAnsi="Times New Roman" w:eastAsia="等线" w:cs="Times New Roman"/>
                <w:kern w:val="0"/>
                <w:sz w:val="24"/>
              </w:rPr>
              <w:tab/>
            </w:r>
            <w:r>
              <w:rPr>
                <w:rFonts w:hint="default" w:ascii="Times New Roman" w:hAnsi="Times New Roman" w:eastAsia="等线" w:cs="Times New Roman"/>
                <w:kern w:val="0"/>
                <w:sz w:val="24"/>
              </w:rPr>
              <w:t>At the time of load-in and creation of standard warrant for standard or substitute TSR 20, the owner shall submit the inspection report issued by the relevant Designated Inspection Agency, bill of lading, certificate of origin, approval of load-in issued by the customs, and other relevant documents to the Exchange for verification.</w:t>
            </w:r>
          </w:p>
          <w:p>
            <w:pPr>
              <w:snapToGrid w:val="0"/>
              <w:spacing w:after="312" w:afterLines="100" w:line="276" w:lineRule="auto"/>
              <w:jc w:val="both"/>
              <w:rPr>
                <w:rFonts w:hint="default" w:ascii="Times New Roman" w:hAnsi="Times New Roman" w:eastAsia="等线" w:cs="Times New Roman"/>
                <w:kern w:val="0"/>
                <w:sz w:val="24"/>
              </w:rPr>
            </w:pPr>
            <w:r>
              <w:rPr>
                <w:rFonts w:hint="default" w:ascii="Times New Roman" w:hAnsi="Times New Roman" w:eastAsia="等线" w:cs="Times New Roman"/>
                <w:kern w:val="0"/>
                <w:sz w:val="24"/>
              </w:rPr>
              <w:t>At the time of load-in and creation of standard warrant for standard or substitute TSR 20, the owner shall additionally deliver the phytosanitary certificate, the certificate of accreditation of the testing laboratory as well as their Chinese translations and the quality inspection report to the Designated Delivery Storage Facility for safekeeping. The Designated Delivery Storage Facility shall keep such documents secure and provide them to the owner during import customs clearance; the owner shall return such documents to the Designated Delivery Storage Facility following the completion of import customs clearance and, if it is the last shipment, submit them to the customs as required.</w:t>
            </w:r>
          </w:p>
          <w:p>
            <w:pPr>
              <w:snapToGrid w:val="0"/>
              <w:spacing w:after="312" w:afterLines="100" w:line="276" w:lineRule="auto"/>
              <w:jc w:val="both"/>
              <w:rPr>
                <w:rFonts w:hint="default" w:ascii="Times New Roman" w:hAnsi="Times New Roman" w:eastAsia="等线" w:cs="Times New Roman"/>
                <w:b/>
                <w:bCs/>
                <w:color w:val="EE0000"/>
                <w:kern w:val="0"/>
                <w:sz w:val="24"/>
              </w:rPr>
            </w:pPr>
            <w:r>
              <w:rPr>
                <w:rFonts w:hint="default" w:ascii="Times New Roman" w:hAnsi="Times New Roman" w:eastAsia="等线" w:cs="Times New Roman"/>
                <w:b/>
                <w:bCs/>
                <w:color w:val="EE0000"/>
                <w:kern w:val="0"/>
                <w:sz w:val="24"/>
              </w:rPr>
              <w:t>Before issuing a factory standard warrant for TSR 20, a factory shall submit an application to the Exchange. The application shall include the product name, the name of the Member, the name of the owner, and the proposed number of standard warrants to be issued. When issuing an overseas standard warrant, a factory shall, based on its own production and processing capacity, submit an application to the Exchange naming itself as the owner.</w:t>
            </w:r>
          </w:p>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等线" w:cs="Times New Roman"/>
                <w:b/>
                <w:bCs/>
                <w:color w:val="EE0000"/>
                <w:kern w:val="0"/>
                <w:sz w:val="24"/>
              </w:rPr>
              <w:t>The Exchange may exempt a factory from providing guarantees if the factory can provide supporting documents proving that the storage arrangements for the commodity underlying the factory standard warrant continuously comply with the relevant requirements.</w:t>
            </w:r>
          </w:p>
        </w:tc>
        <w:tc>
          <w:tcPr>
            <w:tcW w:w="7370" w:type="dxa"/>
          </w:tcPr>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b/>
                <w:bCs/>
                <w:kern w:val="0"/>
                <w:sz w:val="24"/>
                <w14:ligatures w14:val="none"/>
              </w:rPr>
              <w:t>Article 188</w:t>
            </w:r>
            <w:r>
              <w:rPr>
                <w:rFonts w:hint="default" w:ascii="Times New Roman" w:hAnsi="Times New Roman" w:eastAsia="宋体" w:cs="Times New Roman"/>
                <w:b/>
                <w:bCs/>
                <w:kern w:val="0"/>
                <w:sz w:val="24"/>
                <w14:ligatures w14:val="none"/>
              </w:rPr>
              <w:tab/>
            </w:r>
            <w:r>
              <w:rPr>
                <w:rFonts w:hint="default" w:ascii="Times New Roman" w:hAnsi="Times New Roman" w:eastAsia="宋体" w:cs="Times New Roman"/>
                <w:kern w:val="0"/>
                <w:sz w:val="24"/>
                <w14:ligatures w14:val="none"/>
              </w:rPr>
              <w:t>At the time of load-in and creation of standard warrant for standard or substitute TSR 20, the owner shall submit the inspection report issued by the relevant Designated Inspection Agency, bill of lading, certificate of origin, approval of load-in issued by the customs, and other relevant documents to the Exchange for verification.</w:t>
            </w:r>
          </w:p>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kern w:val="0"/>
                <w:sz w:val="24"/>
                <w14:ligatures w14:val="none"/>
              </w:rPr>
              <w:t>At the time of load-in and creation of standard warrant for standard or substitute TSR 20, the owner shall additionally deliver the phytosanitary certificate, the certificate of accreditation of the testing laboratory as well as their Chinese translations and the quality inspection report to the Designated Delivery Storage Facility for safekeeping. The Designated Delivery Storage Facility shall keep such documents secure and provide them to the owner during import customs clearance; the owner shall return such documents to the Designated Delivery Storage Facility following the completion of import customs clearance and, if it is the last shipment, submit them to the customs as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tcPr>
          <w:p>
            <w:pPr>
              <w:snapToGrid w:val="0"/>
              <w:spacing w:after="312" w:afterLines="100" w:line="276" w:lineRule="auto"/>
              <w:jc w:val="both"/>
              <w:rPr>
                <w:rFonts w:hint="default" w:ascii="Times New Roman" w:hAnsi="Times New Roman" w:eastAsia="宋体" w:cs="Times New Roman"/>
                <w:b/>
                <w:kern w:val="0"/>
                <w:sz w:val="24"/>
                <w14:ligatures w14:val="none"/>
              </w:rPr>
            </w:pPr>
            <w:r>
              <w:rPr>
                <w:rFonts w:hint="default" w:ascii="Times New Roman" w:hAnsi="Times New Roman" w:eastAsia="宋体" w:cs="Times New Roman"/>
                <w:b/>
                <w:bCs/>
                <w:kern w:val="0"/>
                <w:sz w:val="24"/>
                <w14:ligatures w14:val="none"/>
              </w:rPr>
              <w:t>Article 189</w:t>
            </w:r>
            <w:r>
              <w:rPr>
                <w:rFonts w:hint="default" w:ascii="Times New Roman" w:hAnsi="Times New Roman" w:eastAsia="宋体" w:cs="Times New Roman"/>
                <w:b/>
                <w:bCs/>
                <w:kern w:val="0"/>
                <w:sz w:val="24"/>
                <w14:ligatures w14:val="none"/>
              </w:rPr>
              <w:tab/>
            </w:r>
            <w:r>
              <w:rPr>
                <w:rFonts w:hint="default" w:ascii="Times New Roman" w:hAnsi="Times New Roman" w:eastAsia="宋体" w:cs="Times New Roman"/>
                <w:kern w:val="0"/>
                <w:sz w:val="24"/>
                <w14:ligatures w14:val="none"/>
              </w:rPr>
              <w:t xml:space="preserve">Each </w:t>
            </w:r>
            <w:r>
              <w:rPr>
                <w:rFonts w:hint="default" w:ascii="Times New Roman" w:hAnsi="Times New Roman" w:eastAsia="宋体" w:cs="Times New Roman"/>
                <w:dstrike/>
                <w:kern w:val="0"/>
                <w:sz w:val="24"/>
                <w14:ligatures w14:val="none"/>
              </w:rPr>
              <w:t>bonded</w:t>
            </w:r>
            <w:r>
              <w:rPr>
                <w:rFonts w:hint="default" w:ascii="Times New Roman" w:hAnsi="Times New Roman" w:eastAsia="宋体" w:cs="Times New Roman"/>
                <w:kern w:val="0"/>
                <w:sz w:val="24"/>
                <w14:ligatures w14:val="none"/>
              </w:rPr>
              <w:t xml:space="preserve"> standard warrant for TSR 20 shall represent one hundred (100) metric tons in name, and shall be in the same registered brand, manufacturer (factory), and packaging specification.</w:t>
            </w:r>
          </w:p>
        </w:tc>
        <w:tc>
          <w:tcPr>
            <w:tcW w:w="7370" w:type="dxa"/>
          </w:tcPr>
          <w:p>
            <w:pPr>
              <w:snapToGrid w:val="0"/>
              <w:spacing w:after="312" w:afterLines="100" w:line="276" w:lineRule="auto"/>
              <w:jc w:val="both"/>
              <w:rPr>
                <w:rFonts w:hint="default" w:ascii="Times New Roman" w:hAnsi="Times New Roman" w:eastAsia="宋体" w:cs="Times New Roman"/>
                <w:b/>
                <w:kern w:val="0"/>
                <w:sz w:val="24"/>
                <w14:ligatures w14:val="none"/>
              </w:rPr>
            </w:pPr>
            <w:r>
              <w:rPr>
                <w:rFonts w:hint="default" w:ascii="Times New Roman" w:hAnsi="Times New Roman" w:eastAsia="宋体" w:cs="Times New Roman"/>
                <w:b/>
                <w:bCs/>
                <w:kern w:val="0"/>
                <w:sz w:val="24"/>
                <w14:ligatures w14:val="none"/>
              </w:rPr>
              <w:t>Article 189</w:t>
            </w:r>
            <w:r>
              <w:rPr>
                <w:rFonts w:hint="default" w:ascii="Times New Roman" w:hAnsi="Times New Roman" w:eastAsia="宋体" w:cs="Times New Roman"/>
                <w:b/>
                <w:bCs/>
                <w:kern w:val="0"/>
                <w:sz w:val="24"/>
                <w14:ligatures w14:val="none"/>
              </w:rPr>
              <w:tab/>
            </w:r>
            <w:r>
              <w:rPr>
                <w:rFonts w:hint="default" w:ascii="Times New Roman" w:hAnsi="Times New Roman" w:eastAsia="宋体" w:cs="Times New Roman"/>
                <w:kern w:val="0"/>
                <w:sz w:val="24"/>
                <w14:ligatures w14:val="none"/>
              </w:rPr>
              <w:t>Each bonded standard warrant for TSR 20 shall represent one hundred (100) metric tons in name, and shall be in the same registered brand, manufacturer (factory), and packaging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tcPr>
          <w:p>
            <w:pPr>
              <w:snapToGrid w:val="0"/>
              <w:spacing w:after="312" w:afterLines="100" w:line="276" w:lineRule="auto"/>
              <w:jc w:val="both"/>
              <w:rPr>
                <w:rFonts w:hint="default" w:ascii="Times New Roman" w:hAnsi="Times New Roman" w:eastAsia="等线" w:cs="Times New Roman"/>
                <w:kern w:val="0"/>
                <w:sz w:val="24"/>
              </w:rPr>
            </w:pPr>
            <w:r>
              <w:rPr>
                <w:rFonts w:hint="default" w:ascii="Times New Roman" w:hAnsi="Times New Roman" w:eastAsia="等线" w:cs="Times New Roman"/>
                <w:b/>
                <w:kern w:val="0"/>
                <w:sz w:val="24"/>
              </w:rPr>
              <w:t>Article 191</w:t>
            </w:r>
            <w:r>
              <w:rPr>
                <w:rFonts w:hint="default" w:ascii="Times New Roman" w:hAnsi="Times New Roman" w:eastAsia="等线" w:cs="Times New Roman"/>
                <w:kern w:val="0"/>
                <w:sz w:val="24"/>
              </w:rPr>
              <w:tab/>
            </w:r>
            <w:r>
              <w:rPr>
                <w:rFonts w:hint="default" w:ascii="Times New Roman" w:hAnsi="Times New Roman" w:eastAsia="等线" w:cs="Times New Roman"/>
                <w:kern w:val="0"/>
                <w:sz w:val="24"/>
              </w:rPr>
              <w:t>The range of manufacturing dates of the standard or substitute TSR 20 underlying each</w:t>
            </w:r>
            <w:r>
              <w:rPr>
                <w:rFonts w:hint="default" w:ascii="Times New Roman" w:hAnsi="Times New Roman" w:eastAsia="宋体" w:cs="Times New Roman"/>
                <w:kern w:val="0"/>
                <w:sz w:val="24"/>
                <w14:ligatures w14:val="none"/>
              </w:rPr>
              <w:t xml:space="preserve"> </w:t>
            </w:r>
            <w:r>
              <w:rPr>
                <w:rFonts w:hint="default" w:ascii="Times New Roman" w:hAnsi="Times New Roman" w:eastAsia="宋体" w:cs="Times New Roman"/>
                <w:dstrike/>
                <w:kern w:val="0"/>
                <w:sz w:val="24"/>
                <w14:ligatures w14:val="none"/>
              </w:rPr>
              <w:t>bonded</w:t>
            </w:r>
            <w:r>
              <w:rPr>
                <w:rFonts w:hint="default" w:ascii="Times New Roman" w:hAnsi="Times New Roman" w:eastAsia="等线" w:cs="Times New Roman"/>
                <w:kern w:val="0"/>
                <w:sz w:val="24"/>
              </w:rPr>
              <w:t xml:space="preserve"> standard warrant shall not exceed thirty (30) days, the earliest of which shall be taken as the manufacturing date for the </w:t>
            </w:r>
            <w:r>
              <w:rPr>
                <w:rFonts w:hint="default" w:ascii="Times New Roman" w:hAnsi="Times New Roman" w:eastAsia="宋体" w:cs="Times New Roman"/>
                <w:dstrike/>
                <w:kern w:val="0"/>
                <w:sz w:val="24"/>
                <w14:ligatures w14:val="none"/>
              </w:rPr>
              <w:t>bonded</w:t>
            </w:r>
            <w:r>
              <w:rPr>
                <w:rFonts w:hint="default" w:ascii="Times New Roman" w:hAnsi="Times New Roman" w:eastAsia="等线" w:cs="Times New Roman"/>
                <w:kern w:val="0"/>
                <w:sz w:val="24"/>
              </w:rPr>
              <w:t xml:space="preserve"> standard warrant. A standard warrant for standard or substitute TSR 20 is valid for twelve (12) months from the manufacturing date. </w:t>
            </w:r>
            <w:r>
              <w:rPr>
                <w:rFonts w:hint="default" w:ascii="Times New Roman" w:hAnsi="Times New Roman" w:eastAsia="等线" w:cs="Times New Roman"/>
                <w:b/>
                <w:bCs/>
                <w:color w:val="EE0000"/>
                <w:kern w:val="0"/>
                <w:sz w:val="24"/>
              </w:rPr>
              <w:t>An overseas standard warrant for TSR 20 is valid for six (6) months from the date of issuance, and shall be cancelled immediately after the first delivery. Overseas standard warrants for TSR 20 are non-transferable.</w:t>
            </w:r>
          </w:p>
          <w:p>
            <w:pPr>
              <w:snapToGrid w:val="0"/>
              <w:spacing w:after="312" w:afterLines="100" w:line="276" w:lineRule="auto"/>
              <w:jc w:val="both"/>
              <w:rPr>
                <w:rFonts w:hint="default" w:ascii="Times New Roman" w:hAnsi="Times New Roman" w:eastAsia="等线" w:cs="Times New Roman"/>
                <w:kern w:val="0"/>
                <w:sz w:val="24"/>
              </w:rPr>
            </w:pPr>
            <w:r>
              <w:rPr>
                <w:rFonts w:hint="default" w:ascii="Times New Roman" w:hAnsi="Times New Roman" w:eastAsia="等线" w:cs="Times New Roman"/>
                <w:kern w:val="0"/>
                <w:sz w:val="24"/>
              </w:rPr>
              <w:t>Any standard or substitute TSR 20 for physical delivery shall be loaded in within ninety (90) days of the date of manufacturing, after which no standard warrant shall be issued for such TSR 20.</w:t>
            </w:r>
          </w:p>
          <w:p>
            <w:pPr>
              <w:snapToGrid w:val="0"/>
              <w:spacing w:after="312" w:afterLines="100" w:line="276" w:lineRule="auto"/>
              <w:jc w:val="both"/>
              <w:rPr>
                <w:rFonts w:hint="default" w:ascii="Times New Roman" w:hAnsi="Times New Roman" w:eastAsia="宋体" w:cs="Times New Roman"/>
                <w:b/>
                <w:kern w:val="0"/>
                <w:sz w:val="24"/>
                <w14:ligatures w14:val="none"/>
              </w:rPr>
            </w:pPr>
            <w:r>
              <w:rPr>
                <w:rFonts w:hint="default" w:ascii="Times New Roman" w:hAnsi="Times New Roman" w:eastAsia="等线" w:cs="Times New Roman"/>
                <w:kern w:val="0"/>
                <w:sz w:val="24"/>
              </w:rPr>
              <w:t xml:space="preserve">An inspection report of standard or substitute TSR 20 loaded in for generating </w:t>
            </w:r>
            <w:r>
              <w:rPr>
                <w:rFonts w:hint="default" w:ascii="Times New Roman" w:hAnsi="Times New Roman" w:eastAsia="等线" w:cs="Times New Roman"/>
                <w:b/>
                <w:bCs/>
                <w:color w:val="EE0000"/>
                <w:kern w:val="0"/>
                <w:sz w:val="24"/>
              </w:rPr>
              <w:t>bonded</w:t>
            </w:r>
            <w:r>
              <w:rPr>
                <w:rFonts w:hint="default" w:ascii="Times New Roman" w:hAnsi="Times New Roman" w:eastAsia="等线" w:cs="Times New Roman"/>
                <w:kern w:val="0"/>
                <w:sz w:val="24"/>
              </w:rPr>
              <w:t xml:space="preserve"> standard warrants is valid for one hundred and eighty (180) days following issuance, and the inspection report for stored commodities is valid for ninety (90) days following issuance. After the valid date, the corresponding commodity shall be re-inspected and delivered only after passing the new inspection. The holder of the bonded standard warrant shall be solely liable for the quality of the loaded-in standard or substitute TSR 20 if it fails the new inspection, unless the Designated Delivery Storage Facility is liable.</w:t>
            </w:r>
          </w:p>
        </w:tc>
        <w:tc>
          <w:tcPr>
            <w:tcW w:w="7370" w:type="dxa"/>
          </w:tcPr>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b/>
                <w:bCs/>
                <w:kern w:val="0"/>
                <w:sz w:val="24"/>
                <w14:ligatures w14:val="none"/>
              </w:rPr>
              <w:t>Article 191</w:t>
            </w:r>
            <w:r>
              <w:rPr>
                <w:rFonts w:hint="default" w:ascii="Times New Roman" w:hAnsi="Times New Roman" w:eastAsia="宋体" w:cs="Times New Roman"/>
                <w:b/>
                <w:bCs/>
                <w:kern w:val="0"/>
                <w:sz w:val="24"/>
                <w14:ligatures w14:val="none"/>
              </w:rPr>
              <w:tab/>
            </w:r>
            <w:r>
              <w:rPr>
                <w:rFonts w:hint="default" w:ascii="Times New Roman" w:hAnsi="Times New Roman" w:eastAsia="宋体" w:cs="Times New Roman"/>
                <w:kern w:val="0"/>
                <w:sz w:val="24"/>
                <w14:ligatures w14:val="none"/>
              </w:rPr>
              <w:t>The range of manufacturing dates of the standard or substitute TSR 20 underlying each bonded standard warrant shall not exceed thirty (30) days, the earliest of which shall be taken as the manufacturing date for the bonded standard warrant. A standard warrant for standard or substitute TSR 20 is valid for twelve (12) months from the manufacturing date.</w:t>
            </w:r>
          </w:p>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kern w:val="0"/>
                <w:sz w:val="24"/>
                <w14:ligatures w14:val="none"/>
              </w:rPr>
              <w:t>Any standard or substitute TSR 20 for physical delivery shall be loaded in within ninety (90) days of the date of manufacturing, after which no standard warrant shall be issued for such TSR 20.</w:t>
            </w:r>
          </w:p>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kern w:val="0"/>
                <w:sz w:val="24"/>
                <w14:ligatures w14:val="none"/>
              </w:rPr>
              <w:t>An inspection report of standard or substitute TSR 20 loaded in for generating standard warrants is valid for one hundred and eighty (180) days following issuance, and the inspection report for stored commodities is valid for ninety (90) days following issuance. After the valid date, the corresponding commodity shall be re-inspected and delivered only after passing the new inspection. The holder of the bonded standard warrant shall be solely liable for the quality of the loaded-in standard or substitute TSR 20 if it fails the new inspection, unless the Designated Delivery Storage Facility is liable.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tcPr>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b/>
                <w:bCs/>
                <w:kern w:val="0"/>
                <w:sz w:val="24"/>
                <w14:ligatures w14:val="none"/>
              </w:rPr>
              <w:t>Article 192</w:t>
            </w:r>
            <w:r>
              <w:rPr>
                <w:rFonts w:hint="default" w:ascii="Times New Roman" w:hAnsi="Times New Roman" w:eastAsia="宋体" w:cs="Times New Roman"/>
                <w:kern w:val="0"/>
                <w:sz w:val="24"/>
                <w14:ligatures w14:val="none"/>
              </w:rPr>
              <w:tab/>
            </w:r>
            <w:r>
              <w:rPr>
                <w:rFonts w:hint="default" w:ascii="Times New Roman" w:hAnsi="Times New Roman" w:eastAsia="宋体" w:cs="Times New Roman"/>
                <w:kern w:val="0"/>
                <w:sz w:val="24"/>
                <w14:ligatures w14:val="none"/>
              </w:rPr>
              <w:t>The load-in inspection of TSR 20</w:t>
            </w:r>
            <w:r>
              <w:rPr>
                <w:rFonts w:hint="default" w:ascii="Times New Roman" w:hAnsi="Times New Roman" w:eastAsia="等线" w:cs="Times New Roman"/>
                <w:kern w:val="0"/>
                <w:sz w:val="24"/>
              </w:rPr>
              <w:t xml:space="preserve"> </w:t>
            </w:r>
            <w:r>
              <w:rPr>
                <w:rFonts w:hint="default" w:ascii="Times New Roman" w:hAnsi="Times New Roman" w:eastAsia="等线" w:cs="Times New Roman"/>
                <w:b/>
                <w:bCs/>
                <w:color w:val="EE0000"/>
                <w:kern w:val="0"/>
                <w:sz w:val="24"/>
              </w:rPr>
              <w:t>for generating bonded standard warrants</w:t>
            </w:r>
            <w:r>
              <w:rPr>
                <w:rFonts w:hint="default" w:ascii="Times New Roman" w:hAnsi="Times New Roman" w:eastAsia="宋体" w:cs="Times New Roman"/>
                <w:kern w:val="0"/>
                <w:sz w:val="24"/>
                <w14:ligatures w14:val="none"/>
              </w:rPr>
              <w:t xml:space="preserve"> shall be conducted in accordance with the TSR 20 (Futures) Inspection Rules.</w:t>
            </w:r>
          </w:p>
          <w:p>
            <w:pPr>
              <w:snapToGrid w:val="0"/>
              <w:spacing w:after="312" w:afterLines="100" w:line="276" w:lineRule="auto"/>
              <w:jc w:val="both"/>
              <w:rPr>
                <w:rFonts w:hint="default" w:ascii="Times New Roman" w:hAnsi="Times New Roman" w:eastAsia="等线" w:cs="Times New Roman"/>
                <w:b/>
                <w:bCs/>
                <w:color w:val="EE0000"/>
                <w:kern w:val="0"/>
                <w:sz w:val="24"/>
              </w:rPr>
            </w:pPr>
            <w:r>
              <w:rPr>
                <w:rFonts w:hint="default" w:ascii="Times New Roman" w:hAnsi="Times New Roman" w:eastAsia="等线" w:cs="Times New Roman"/>
                <w:b/>
                <w:bCs/>
                <w:color w:val="EE0000"/>
                <w:kern w:val="0"/>
                <w:sz w:val="24"/>
              </w:rPr>
              <w:t>When taking delivery, the holder of a factory standard warrant may engage a Designated Inspection Agency to perform an on-site inspection of the quality and quantity (weight) of the standard or substitute TSR 20 loaded out of the factory, in accordance with the TSR 20 (Futures) Inspection Rules. The inspection fee shall be borne by the holder of the factory standard warrant.</w:t>
            </w:r>
          </w:p>
          <w:p>
            <w:pPr>
              <w:snapToGrid w:val="0"/>
              <w:spacing w:after="312" w:afterLines="100" w:line="276" w:lineRule="auto"/>
              <w:jc w:val="both"/>
              <w:rPr>
                <w:rFonts w:hint="default" w:ascii="Times New Roman" w:hAnsi="Times New Roman" w:eastAsia="等线" w:cs="Times New Roman"/>
                <w:kern w:val="0"/>
                <w:sz w:val="24"/>
              </w:rPr>
            </w:pPr>
            <w:r>
              <w:rPr>
                <w:rFonts w:hint="default" w:ascii="Times New Roman" w:hAnsi="Times New Roman" w:eastAsia="等线" w:cs="Times New Roman"/>
                <w:kern w:val="0"/>
                <w:sz w:val="24"/>
              </w:rPr>
              <w:t>Designated Delivery Storage Facilities shall cooperate with Designated Inspection Agencies in their inspections and shall verify the quality and quantity of standard or substitute TSR 20 for load-in and out.</w:t>
            </w:r>
          </w:p>
          <w:p>
            <w:pPr>
              <w:snapToGrid w:val="0"/>
              <w:spacing w:after="312" w:afterLines="100" w:line="276" w:lineRule="auto"/>
              <w:jc w:val="both"/>
              <w:rPr>
                <w:rFonts w:hint="default" w:ascii="Times New Roman" w:hAnsi="Times New Roman" w:eastAsia="等线" w:cs="Times New Roman"/>
                <w:kern w:val="0"/>
                <w:sz w:val="24"/>
              </w:rPr>
            </w:pPr>
            <w:r>
              <w:rPr>
                <w:rFonts w:hint="default" w:ascii="Times New Roman" w:hAnsi="Times New Roman" w:eastAsia="等线" w:cs="Times New Roman"/>
                <w:kern w:val="0"/>
                <w:sz w:val="24"/>
              </w:rPr>
              <w:t>The quality inspection shall be subject to the quality inspection report issued by the Designated Inspection Agency. A standard warrant may be created only if the findings of the quality inspection report conform to the quality standards of the Exchange for the delivery commodity. The relevant provisions of Article 39, paragraphs 2 and 3 of Article 40, Article 41.1 (“The Load-In Quality Inspection”), and paragraph 3 of Article 45 of these Delivery Rules are not applicable to TSR 20.</w:t>
            </w:r>
          </w:p>
          <w:p>
            <w:pPr>
              <w:snapToGrid w:val="0"/>
              <w:spacing w:after="312" w:afterLines="100" w:line="276" w:lineRule="auto"/>
              <w:jc w:val="both"/>
              <w:rPr>
                <w:rFonts w:hint="default" w:ascii="Times New Roman" w:hAnsi="Times New Roman" w:eastAsia="等线" w:cs="Times New Roman"/>
                <w:b/>
                <w:bCs/>
                <w:color w:val="EE0000"/>
                <w:kern w:val="0"/>
                <w:sz w:val="24"/>
              </w:rPr>
            </w:pPr>
            <w:r>
              <w:rPr>
                <w:rFonts w:hint="default" w:ascii="Times New Roman" w:hAnsi="Times New Roman" w:eastAsia="等线" w:cs="Times New Roman"/>
                <w:b/>
                <w:bCs/>
                <w:color w:val="EE0000"/>
                <w:kern w:val="0"/>
                <w:sz w:val="24"/>
              </w:rPr>
              <w:t>If the buyer does not engage a Designated Inspection Agency to conduct an on-site inspection, it shall be deemed to have acknowledged that the shipment from the overseas factory is correct, and the overseas factory, the Group Delivery Center, and the Exchange shall no longer accept any application disputing the corresponding TSR 20 commodity. The quality and quantity (weight) inspection for overseas standard warrants shall be separately prescribed by the Exchange.</w:t>
            </w:r>
          </w:p>
        </w:tc>
        <w:tc>
          <w:tcPr>
            <w:tcW w:w="7370" w:type="dxa"/>
          </w:tcPr>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b/>
                <w:bCs/>
                <w:kern w:val="0"/>
                <w:sz w:val="24"/>
                <w14:ligatures w14:val="none"/>
              </w:rPr>
              <w:t>Article 192</w:t>
            </w:r>
            <w:r>
              <w:rPr>
                <w:rFonts w:hint="default" w:ascii="Times New Roman" w:hAnsi="Times New Roman" w:eastAsia="宋体" w:cs="Times New Roman"/>
                <w:kern w:val="0"/>
                <w:sz w:val="24"/>
                <w14:ligatures w14:val="none"/>
              </w:rPr>
              <w:tab/>
            </w:r>
            <w:r>
              <w:rPr>
                <w:rFonts w:hint="default" w:ascii="Times New Roman" w:hAnsi="Times New Roman" w:eastAsia="宋体" w:cs="Times New Roman"/>
                <w:kern w:val="0"/>
                <w:sz w:val="24"/>
                <w14:ligatures w14:val="none"/>
              </w:rPr>
              <w:t>The load-in inspection of TSR 20 shall be conducted in accordance with the TSR 20 (Futures) Inspection Rules.</w:t>
            </w:r>
          </w:p>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kern w:val="0"/>
                <w:sz w:val="24"/>
                <w14:ligatures w14:val="none"/>
              </w:rPr>
              <w:t>Designated Delivery Storage Facilities shall cooperate with Designated Inspection Agencies in their inspections and shall verify the quality and quantity of standard or substitute TSR 20 for load-in and out.</w:t>
            </w:r>
          </w:p>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kern w:val="0"/>
                <w:sz w:val="24"/>
                <w14:ligatures w14:val="none"/>
              </w:rPr>
              <w:t>The quality inspection shall be subject to the quality inspection report issued by the Designated Inspection Agency. A standard warrant may be created only if the findings of the quality inspection report conform to the quality standards of the Exchange for the delivery commodity. The relevant provisions of Article 39, paragraphs 2 and 3 of Article 40, Article 41.1 (“The Load-In Quality Inspection”), and paragraph 3 of Article 45 of these Delivery Rules are not applicable to TSR 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tcPr>
          <w:p>
            <w:pPr>
              <w:snapToGrid w:val="0"/>
              <w:spacing w:after="312" w:afterLines="100" w:line="276" w:lineRule="auto"/>
              <w:jc w:val="both"/>
              <w:rPr>
                <w:rFonts w:hint="default" w:ascii="Times New Roman" w:hAnsi="Times New Roman" w:eastAsia="等线" w:cs="Times New Roman"/>
                <w:kern w:val="0"/>
                <w:sz w:val="24"/>
              </w:rPr>
            </w:pPr>
            <w:r>
              <w:rPr>
                <w:rFonts w:hint="default" w:ascii="Times New Roman" w:hAnsi="Times New Roman" w:eastAsia="等线" w:cs="Times New Roman"/>
                <w:b/>
                <w:kern w:val="0"/>
                <w:sz w:val="24"/>
              </w:rPr>
              <w:t>Article 193</w:t>
            </w:r>
            <w:r>
              <w:rPr>
                <w:rFonts w:hint="default" w:ascii="Times New Roman" w:hAnsi="Times New Roman" w:eastAsia="等线" w:cs="Times New Roman"/>
                <w:kern w:val="0"/>
                <w:sz w:val="24"/>
              </w:rPr>
              <w:tab/>
            </w:r>
            <w:r>
              <w:rPr>
                <w:rFonts w:hint="default" w:ascii="Times New Roman" w:hAnsi="Times New Roman" w:eastAsia="等线" w:cs="Times New Roman"/>
                <w:kern w:val="0"/>
                <w:sz w:val="24"/>
              </w:rPr>
              <w:t>An owner shall ship its commodities to the approved Designated Delivery Storage Facility within thirty (30) days of the approval of its load-in application by the Exchange.</w:t>
            </w:r>
          </w:p>
          <w:p>
            <w:pPr>
              <w:snapToGrid w:val="0"/>
              <w:spacing w:after="312" w:afterLines="100" w:line="276" w:lineRule="auto"/>
              <w:jc w:val="both"/>
              <w:rPr>
                <w:rFonts w:hint="default" w:ascii="Times New Roman" w:hAnsi="Times New Roman" w:eastAsia="宋体" w:cs="Times New Roman"/>
                <w:b/>
                <w:bCs/>
                <w:kern w:val="0"/>
                <w:sz w:val="24"/>
                <w14:ligatures w14:val="none"/>
              </w:rPr>
            </w:pPr>
            <w:r>
              <w:rPr>
                <w:rFonts w:hint="default" w:ascii="Times New Roman" w:hAnsi="Times New Roman" w:eastAsia="等线" w:cs="Times New Roman"/>
                <w:b/>
                <w:bCs/>
                <w:color w:val="EE0000"/>
                <w:kern w:val="0"/>
                <w:sz w:val="24"/>
              </w:rPr>
              <w:t>The holder of a factory standard warrant shall submit a take-delivery application ten (10) days prior to the proposed take-delivery date. The take-delivery requirements for overseas standard warrants shall be separately prescribed by the Exchange.</w:t>
            </w:r>
          </w:p>
        </w:tc>
        <w:tc>
          <w:tcPr>
            <w:tcW w:w="7370" w:type="dxa"/>
          </w:tcPr>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b/>
                <w:bCs/>
                <w:kern w:val="0"/>
                <w:sz w:val="24"/>
                <w14:ligatures w14:val="none"/>
              </w:rPr>
              <w:t>Article 193</w:t>
            </w:r>
            <w:r>
              <w:rPr>
                <w:rFonts w:hint="default" w:ascii="Times New Roman" w:hAnsi="Times New Roman" w:eastAsia="宋体" w:cs="Times New Roman"/>
                <w:b/>
                <w:bCs/>
                <w:kern w:val="0"/>
                <w:sz w:val="24"/>
                <w14:ligatures w14:val="none"/>
              </w:rPr>
              <w:tab/>
            </w:r>
            <w:r>
              <w:rPr>
                <w:rFonts w:hint="default" w:ascii="Times New Roman" w:hAnsi="Times New Roman" w:eastAsia="宋体" w:cs="Times New Roman"/>
                <w:kern w:val="0"/>
                <w:sz w:val="24"/>
                <w14:ligatures w14:val="none"/>
              </w:rPr>
              <w:t>An owner shall ship its commodities to the approved Designated Delivery Storage Facility within thirty (30) days of the approval of its load-in application by the Exchange.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tcPr>
          <w:p>
            <w:pPr>
              <w:snapToGrid w:val="0"/>
              <w:spacing w:after="312" w:afterLines="100" w:line="276" w:lineRule="auto"/>
              <w:jc w:val="both"/>
              <w:rPr>
                <w:rFonts w:hint="default" w:ascii="Times New Roman" w:hAnsi="Times New Roman" w:eastAsia="等线" w:cs="Times New Roman"/>
                <w:kern w:val="0"/>
                <w:sz w:val="24"/>
              </w:rPr>
            </w:pPr>
            <w:r>
              <w:rPr>
                <w:rFonts w:hint="default" w:ascii="Times New Roman" w:hAnsi="Times New Roman" w:eastAsia="等线" w:cs="Times New Roman"/>
                <w:b/>
                <w:kern w:val="0"/>
                <w:sz w:val="24"/>
              </w:rPr>
              <w:t>Article 194</w:t>
            </w:r>
            <w:r>
              <w:rPr>
                <w:rFonts w:hint="default" w:ascii="Times New Roman" w:hAnsi="Times New Roman" w:eastAsia="等线" w:cs="Times New Roman"/>
                <w:kern w:val="0"/>
                <w:sz w:val="24"/>
              </w:rPr>
              <w:tab/>
            </w:r>
            <w:r>
              <w:rPr>
                <w:rFonts w:hint="default" w:ascii="Times New Roman" w:hAnsi="Times New Roman" w:eastAsia="等线" w:cs="Times New Roman"/>
                <w:kern w:val="0"/>
                <w:sz w:val="24"/>
              </w:rPr>
              <w:t xml:space="preserve">Any buyer who questions the quality or quantity of the delivered commodities </w:t>
            </w:r>
            <w:r>
              <w:rPr>
                <w:rFonts w:hint="default" w:ascii="Times New Roman" w:hAnsi="Times New Roman" w:eastAsia="等线" w:cs="Times New Roman"/>
                <w:b/>
                <w:bCs/>
                <w:color w:val="EE0000"/>
                <w:kern w:val="0"/>
                <w:sz w:val="24"/>
              </w:rPr>
              <w:t>corresponding to warehouse standard warrants</w:t>
            </w:r>
            <w:r>
              <w:rPr>
                <w:rFonts w:hint="default" w:ascii="Times New Roman" w:hAnsi="Times New Roman" w:eastAsia="等线" w:cs="Times New Roman"/>
                <w:kern w:val="0"/>
                <w:sz w:val="24"/>
              </w:rPr>
              <w:t xml:space="preserve"> following completion of physical delivery (the delivered standard or substitute TSR 20 under dispute shall be currently stored in the Designated Delivery Storage Facility) shall submit a written application to the Exchange no later than the fifteenth (15th) day (or the following trading day if it falls on a national holiday or weekend in China) of the month following the month of physical delivery, accompanied by the quality inspection report issued by the Designated Inspection Agency. If such application is not submitted before the date specified above, the buyer will be deemed to have accepted the delivered commodities and the Exchange will no longer accept any challenges with respect thereto.</w:t>
            </w:r>
          </w:p>
          <w:p>
            <w:pPr>
              <w:snapToGrid w:val="0"/>
              <w:spacing w:after="312" w:afterLines="100" w:line="276" w:lineRule="auto"/>
              <w:jc w:val="both"/>
              <w:rPr>
                <w:rFonts w:hint="default" w:ascii="Times New Roman" w:hAnsi="Times New Roman" w:eastAsia="宋体" w:cs="Times New Roman"/>
                <w:b/>
                <w:bCs/>
                <w:kern w:val="0"/>
                <w:sz w:val="24"/>
                <w14:ligatures w14:val="none"/>
              </w:rPr>
            </w:pPr>
            <w:r>
              <w:rPr>
                <w:rFonts w:hint="default" w:ascii="Times New Roman" w:hAnsi="Times New Roman" w:eastAsia="等线" w:cs="Times New Roman"/>
                <w:b/>
                <w:bCs/>
                <w:color w:val="EE0000"/>
                <w:kern w:val="0"/>
                <w:sz w:val="24"/>
              </w:rPr>
              <w:t>Any dispute or controversy arising out of or in connection with an overseas standard warrant shall be subject to the jurisdiction of the Shanghai Financial Court or other courts of the People's Republic of China, and the rights and obligations of the parties shall be governed by the laws of the People's Republic of China.</w:t>
            </w:r>
          </w:p>
        </w:tc>
        <w:tc>
          <w:tcPr>
            <w:tcW w:w="7370" w:type="dxa"/>
          </w:tcPr>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b/>
                <w:bCs/>
                <w:kern w:val="0"/>
                <w:sz w:val="24"/>
                <w14:ligatures w14:val="none"/>
              </w:rPr>
              <w:t>Article 194</w:t>
            </w:r>
            <w:r>
              <w:rPr>
                <w:rFonts w:hint="default" w:ascii="Times New Roman" w:hAnsi="Times New Roman" w:eastAsia="宋体" w:cs="Times New Roman"/>
                <w:kern w:val="0"/>
                <w:sz w:val="24"/>
                <w14:ligatures w14:val="none"/>
              </w:rPr>
              <w:tab/>
            </w:r>
            <w:r>
              <w:rPr>
                <w:rFonts w:hint="default" w:ascii="Times New Roman" w:hAnsi="Times New Roman" w:eastAsia="宋体" w:cs="Times New Roman"/>
                <w:kern w:val="0"/>
                <w:sz w:val="24"/>
                <w14:ligatures w14:val="none"/>
              </w:rPr>
              <w:t>Any buyer who questions the quality or quantity of the delivered commodities following completion of physical delivery (the delivered standard or substitute TSR 20 under dispute shall be currently stored in the Designated Delivery Storage Facility) shall submit a written application to the Exchange no later than the fifteenth (15th) day (or the following trading day if it falls on a national holiday or weekend in China) of the month following the month of physical delivery, accompanied by the quality inspection report issued by the Designated Inspection Agency. If such application is not submitted before the date specified above, the buyer will be deemed to have accepted the delivered commodities and the Exchange will no longer accept any challenges with respect thereto.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tcPr>
          <w:p>
            <w:pPr>
              <w:snapToGrid w:val="0"/>
              <w:spacing w:after="312" w:afterLines="100" w:line="276" w:lineRule="auto"/>
              <w:jc w:val="both"/>
              <w:rPr>
                <w:rFonts w:hint="default" w:ascii="Times New Roman" w:hAnsi="Times New Roman" w:eastAsia="等线" w:cs="Times New Roman"/>
                <w:b/>
                <w:bCs/>
                <w:color w:val="EE0000"/>
                <w:kern w:val="0"/>
                <w:sz w:val="24"/>
              </w:rPr>
            </w:pPr>
            <w:r>
              <w:rPr>
                <w:rFonts w:hint="default" w:ascii="Times New Roman" w:hAnsi="Times New Roman" w:eastAsia="等线" w:cs="Times New Roman"/>
                <w:b/>
                <w:bCs/>
                <w:color w:val="EE0000"/>
                <w:kern w:val="0"/>
                <w:sz w:val="24"/>
              </w:rPr>
              <w:t>Article 195 An overseas factory shall deliver the goods to the vessel (at the loading port dock) designated by the buyer, complete export customs clearance, and bear all costs and risks before the goods pass the ship's rail at the loading port.</w:t>
            </w:r>
          </w:p>
          <w:p>
            <w:pPr>
              <w:snapToGrid w:val="0"/>
              <w:spacing w:after="312" w:afterLines="100" w:line="276" w:lineRule="auto"/>
              <w:jc w:val="both"/>
              <w:rPr>
                <w:rFonts w:hint="default" w:ascii="Times New Roman" w:hAnsi="Times New Roman" w:eastAsia="等线" w:cs="Times New Roman"/>
                <w:b/>
                <w:bCs/>
                <w:color w:val="EE0000"/>
                <w:kern w:val="0"/>
                <w:sz w:val="24"/>
              </w:rPr>
            </w:pPr>
            <w:r>
              <w:rPr>
                <w:rFonts w:hint="default" w:ascii="Times New Roman" w:hAnsi="Times New Roman" w:eastAsia="等线" w:cs="Times New Roman"/>
                <w:b/>
                <w:bCs/>
                <w:color w:val="EE0000"/>
                <w:kern w:val="0"/>
                <w:sz w:val="24"/>
              </w:rPr>
              <w:t>The buyer shall designate the vessel (at the loading port dock), the discharge port, and the time of taking delivery, and shall bear all costs and risks after the goods pass the ship's rail.</w:t>
            </w:r>
          </w:p>
          <w:p>
            <w:pPr>
              <w:snapToGrid w:val="0"/>
              <w:spacing w:after="312" w:afterLines="100" w:line="276" w:lineRule="auto"/>
              <w:jc w:val="both"/>
              <w:rPr>
                <w:rFonts w:hint="default" w:ascii="Times New Roman" w:hAnsi="Times New Roman" w:eastAsia="等线" w:cs="Times New Roman"/>
                <w:b/>
                <w:bCs/>
                <w:color w:val="EE0000"/>
                <w:kern w:val="0"/>
                <w:sz w:val="24"/>
              </w:rPr>
            </w:pPr>
            <w:r>
              <w:rPr>
                <w:rFonts w:hint="default" w:ascii="Times New Roman" w:hAnsi="Times New Roman" w:eastAsia="等线" w:cs="Times New Roman"/>
                <w:b/>
                <w:bCs/>
                <w:color w:val="EE0000"/>
                <w:kern w:val="0"/>
                <w:sz w:val="24"/>
              </w:rPr>
              <w:t>If any accident occurs after the goods have passed the ship's rail, the overseas factory shall assist the buyer in resolving the issue and cooperate with the buyer in pursuing claims against the insurance company. If the vessel designated by the buyer or any substitute vessel fails to load the goods in a timely manner, the overseas factory shall have the right, upon prior written notice to the buyer, to deliver the goods to any warehouse at the loading port designated by it.</w:t>
            </w:r>
          </w:p>
          <w:p>
            <w:pPr>
              <w:snapToGrid w:val="0"/>
              <w:spacing w:after="312" w:afterLines="100" w:line="276" w:lineRule="auto"/>
              <w:jc w:val="both"/>
              <w:rPr>
                <w:rFonts w:hint="default" w:ascii="Times New Roman" w:hAnsi="Times New Roman" w:eastAsia="宋体" w:cs="Times New Roman"/>
                <w:b/>
                <w:kern w:val="0"/>
                <w:sz w:val="24"/>
                <w14:ligatures w14:val="none"/>
              </w:rPr>
            </w:pPr>
            <w:r>
              <w:rPr>
                <w:rFonts w:hint="default" w:ascii="Times New Roman" w:hAnsi="Times New Roman" w:eastAsia="等线" w:cs="Times New Roman"/>
                <w:b/>
                <w:bCs/>
                <w:color w:val="EE0000"/>
                <w:kern w:val="0"/>
                <w:sz w:val="24"/>
              </w:rPr>
              <w:t>If the buyer elects to take delivery at the factory by itself or through a third party,</w:t>
            </w:r>
            <w:r>
              <w:rPr>
                <w:rFonts w:hint="default" w:ascii="Times New Roman" w:hAnsi="Times New Roman" w:eastAsia="等线" w:cs="Times New Roman"/>
                <w:b/>
                <w:bCs/>
                <w:color w:val="EE0000"/>
                <w:kern w:val="0"/>
                <w:sz w:val="20"/>
                <w:szCs w:val="21"/>
                <w:shd w:val="clear" w:color="auto" w:fill="FFFFFF"/>
              </w:rPr>
              <w:t xml:space="preserve"> </w:t>
            </w:r>
            <w:r>
              <w:rPr>
                <w:rFonts w:hint="default" w:ascii="Times New Roman" w:hAnsi="Times New Roman" w:eastAsia="等线" w:cs="Times New Roman"/>
                <w:b/>
                <w:bCs/>
                <w:color w:val="EE0000"/>
                <w:kern w:val="0"/>
                <w:sz w:val="24"/>
              </w:rPr>
              <w:t>all costs and risks for the corresponding TSR 20 commodity after it leaves the overseas factory shall be borne by the buyer.</w:t>
            </w:r>
          </w:p>
        </w:tc>
        <w:tc>
          <w:tcPr>
            <w:tcW w:w="7370" w:type="dxa"/>
          </w:tcPr>
          <w:p>
            <w:pPr>
              <w:snapToGrid w:val="0"/>
              <w:spacing w:after="312" w:afterLines="100" w:line="276" w:lineRule="auto"/>
              <w:jc w:val="both"/>
              <w:rPr>
                <w:rFonts w:hint="default" w:ascii="Times New Roman" w:hAnsi="Times New Roman" w:eastAsia="宋体" w:cs="Times New Roman"/>
                <w:b/>
                <w:kern w:val="0"/>
                <w:sz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tcPr>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b/>
                <w:bCs/>
                <w:kern w:val="0"/>
                <w:sz w:val="24"/>
                <w14:ligatures w14:val="none"/>
              </w:rPr>
              <w:t>Article 19</w:t>
            </w:r>
            <w:r>
              <w:rPr>
                <w:rFonts w:hint="default" w:ascii="Times New Roman" w:hAnsi="Times New Roman" w:eastAsia="宋体" w:cs="Times New Roman"/>
                <w:b/>
                <w:bCs/>
                <w:dstrike/>
                <w:kern w:val="0"/>
                <w:sz w:val="24"/>
                <w14:ligatures w14:val="none"/>
              </w:rPr>
              <w:t>6</w:t>
            </w:r>
            <w:r>
              <w:rPr>
                <w:rFonts w:hint="default" w:ascii="Times New Roman" w:hAnsi="Times New Roman" w:eastAsia="宋体" w:cs="Times New Roman"/>
                <w:b/>
                <w:bCs/>
                <w:color w:val="EE0000"/>
                <w:kern w:val="0"/>
                <w:sz w:val="24"/>
                <w14:ligatures w14:val="none"/>
              </w:rPr>
              <w:t>7</w:t>
            </w:r>
            <w:r>
              <w:rPr>
                <w:rFonts w:hint="default" w:ascii="Times New Roman" w:hAnsi="Times New Roman" w:eastAsia="宋体" w:cs="Times New Roman"/>
                <w:b/>
                <w:bCs/>
                <w:color w:val="EE0000"/>
                <w:kern w:val="0"/>
                <w:sz w:val="24"/>
                <w14:ligatures w14:val="none"/>
              </w:rPr>
              <w:tab/>
            </w:r>
            <w:r>
              <w:rPr>
                <w:rFonts w:hint="default" w:ascii="Times New Roman" w:hAnsi="Times New Roman" w:eastAsia="宋体" w:cs="Times New Roman"/>
                <w:kern w:val="0"/>
                <w:sz w:val="24"/>
                <w14:ligatures w14:val="none"/>
              </w:rPr>
              <w:t>The formula for the delivery payment for a TSR 20 bonded standard warrant is:</w:t>
            </w:r>
          </w:p>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kern w:val="0"/>
                <w:sz w:val="24"/>
                <w14:ligatures w14:val="none"/>
              </w:rPr>
              <w:t>Delivery Payment for Expired Contract = (Bonded Final Settlement Price + Premiums and Discounts of the Delivery) × Delivery Quantity;</w:t>
            </w:r>
          </w:p>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kern w:val="0"/>
                <w:sz w:val="24"/>
                <w14:ligatures w14:val="none"/>
              </w:rPr>
              <w:t>EFP Delivery Payment = (EFP Bonded Final Settlement Price + Premiums and Discounts of the Delivery) × Delivery Quantity.</w:t>
            </w:r>
          </w:p>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kern w:val="0"/>
                <w:sz w:val="24"/>
                <w14:ligatures w14:val="none"/>
              </w:rPr>
              <w:t>During final settlement, each bonded standard warrant shall represent one hundred point eight (100.8) metric tons of the delivery commodity.</w:t>
            </w:r>
          </w:p>
          <w:p>
            <w:pPr>
              <w:snapToGrid w:val="0"/>
              <w:spacing w:after="312" w:afterLines="100" w:line="276" w:lineRule="auto"/>
              <w:jc w:val="both"/>
              <w:rPr>
                <w:rFonts w:hint="default" w:ascii="Times New Roman" w:hAnsi="Times New Roman" w:eastAsia="等线" w:cs="Times New Roman"/>
                <w:b/>
                <w:bCs/>
                <w:color w:val="EE0000"/>
                <w:kern w:val="0"/>
                <w:sz w:val="24"/>
              </w:rPr>
            </w:pPr>
            <w:r>
              <w:rPr>
                <w:rFonts w:hint="default" w:ascii="Times New Roman" w:hAnsi="Times New Roman" w:eastAsia="等线" w:cs="Times New Roman"/>
                <w:b/>
                <w:bCs/>
                <w:color w:val="EE0000"/>
                <w:kern w:val="0"/>
                <w:sz w:val="24"/>
              </w:rPr>
              <w:t>The formula for the delivery payment for a TSR 20 overseas standard warrant is:</w:t>
            </w:r>
          </w:p>
          <w:p>
            <w:pPr>
              <w:snapToGrid w:val="0"/>
              <w:spacing w:after="312" w:afterLines="100" w:line="276" w:lineRule="auto"/>
              <w:jc w:val="both"/>
              <w:rPr>
                <w:rFonts w:hint="default" w:ascii="Times New Roman" w:hAnsi="Times New Roman" w:eastAsia="等线" w:cs="Times New Roman"/>
                <w:b/>
                <w:bCs/>
                <w:color w:val="EE0000"/>
                <w:kern w:val="0"/>
                <w:sz w:val="24"/>
              </w:rPr>
            </w:pPr>
            <w:r>
              <w:rPr>
                <w:rFonts w:hint="default" w:ascii="Times New Roman" w:hAnsi="Times New Roman" w:eastAsia="等线" w:cs="Times New Roman"/>
                <w:b/>
                <w:bCs/>
                <w:color w:val="EE0000"/>
                <w:kern w:val="0"/>
                <w:sz w:val="24"/>
              </w:rPr>
              <w:t>Delivery Payment for Expired Contract = (Final Settlement Price + Premiums and Discounts of the Delivery) × Delivery Quantity;</w:t>
            </w:r>
          </w:p>
          <w:p>
            <w:pPr>
              <w:snapToGrid w:val="0"/>
              <w:spacing w:after="312" w:afterLines="100" w:line="276" w:lineRule="auto"/>
              <w:jc w:val="both"/>
              <w:rPr>
                <w:rFonts w:hint="default" w:ascii="Times New Roman" w:hAnsi="Times New Roman" w:eastAsia="等线" w:cs="Times New Roman"/>
                <w:b/>
                <w:bCs/>
                <w:color w:val="EE0000"/>
                <w:kern w:val="0"/>
                <w:sz w:val="24"/>
              </w:rPr>
            </w:pPr>
            <w:r>
              <w:rPr>
                <w:rFonts w:hint="default" w:ascii="Times New Roman" w:hAnsi="Times New Roman" w:eastAsia="等线" w:cs="Times New Roman"/>
                <w:b/>
                <w:bCs/>
                <w:color w:val="EE0000"/>
                <w:kern w:val="0"/>
                <w:sz w:val="24"/>
              </w:rPr>
              <w:t>EFP Delivery Payment = (Settlement price of the previous trading day prior to the EFP application day of the first-nearby contract+ Premiums and Discounts of the Delivery) × Delivery Quantity.</w:t>
            </w:r>
          </w:p>
          <w:p>
            <w:pPr>
              <w:snapToGrid w:val="0"/>
              <w:spacing w:after="312" w:afterLines="100" w:line="276" w:lineRule="auto"/>
              <w:jc w:val="both"/>
              <w:rPr>
                <w:rFonts w:hint="default" w:ascii="Times New Roman" w:hAnsi="Times New Roman" w:eastAsia="等线" w:cs="Times New Roman"/>
                <w:b/>
                <w:bCs/>
                <w:color w:val="EE0000"/>
                <w:kern w:val="0"/>
                <w:sz w:val="24"/>
              </w:rPr>
            </w:pPr>
            <w:r>
              <w:rPr>
                <w:rFonts w:hint="default" w:ascii="Times New Roman" w:hAnsi="Times New Roman" w:eastAsia="等线" w:cs="Times New Roman"/>
                <w:b/>
                <w:bCs/>
                <w:color w:val="EE0000"/>
                <w:kern w:val="0"/>
                <w:sz w:val="24"/>
              </w:rPr>
              <w:t>During final settlement, each overseas standard warrant shall represent one hundred point eight (100.8) metric tons of the delivery commodity.</w:t>
            </w:r>
          </w:p>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kern w:val="0"/>
                <w:sz w:val="24"/>
                <w14:ligatures w14:val="none"/>
              </w:rPr>
              <w:t xml:space="preserve">The requirements and management of the tax invoices for </w:t>
            </w:r>
            <w:r>
              <w:rPr>
                <w:rFonts w:hint="default" w:ascii="Times New Roman" w:hAnsi="Times New Roman" w:eastAsia="宋体" w:cs="Times New Roman"/>
                <w:b/>
                <w:bCs/>
                <w:color w:val="EE0000"/>
                <w:kern w:val="0"/>
                <w:sz w:val="24"/>
                <w:szCs w:val="20"/>
                <w14:ligatures w14:val="none"/>
              </w:rPr>
              <w:t>bonded delivery of</w:t>
            </w:r>
            <w:r>
              <w:rPr>
                <w:rFonts w:hint="default" w:ascii="Times New Roman" w:hAnsi="Times New Roman" w:eastAsia="宋体" w:cs="Times New Roman"/>
                <w:kern w:val="0"/>
                <w:sz w:val="24"/>
                <w14:ligatures w14:val="none"/>
              </w:rPr>
              <w:t xml:space="preserve"> TSR 20 futures contract shall be separately announced by the Exchange. Such tax invoices shall be circulated by the procedures under Chapter 2 of these Delivery Rules.</w:t>
            </w:r>
          </w:p>
          <w:p>
            <w:pPr>
              <w:snapToGrid w:val="0"/>
              <w:spacing w:after="312" w:afterLines="100" w:line="276" w:lineRule="auto"/>
              <w:jc w:val="both"/>
              <w:rPr>
                <w:rFonts w:hint="default" w:ascii="Times New Roman" w:hAnsi="Times New Roman" w:eastAsia="宋体" w:cs="Times New Roman"/>
                <w:b/>
                <w:bCs/>
                <w:kern w:val="0"/>
                <w:sz w:val="24"/>
                <w14:ligatures w14:val="none"/>
              </w:rPr>
            </w:pPr>
            <w:r>
              <w:rPr>
                <w:rFonts w:hint="default" w:ascii="Times New Roman" w:hAnsi="Times New Roman" w:eastAsia="等线" w:cs="Times New Roman"/>
                <w:b/>
                <w:bCs/>
                <w:color w:val="EE0000"/>
                <w:kern w:val="0"/>
                <w:sz w:val="24"/>
              </w:rPr>
              <w:t>The tax invoice for overseas delivery shall be issued by the seller to the buyer. The carrying Members of the seller and the buyer shall be responsible for verifying, transmitting, and confirming the invoice and the specific information required for invoicing, and shall mediate and resolve any related disputes. OSBPs and Overseas Intermediaries shall assist the Members in the above verification, transmission, and confirmation, as well as in the mediation and resolution of disputes. The requirements, management, and circulation procedures for tax invoices for overseas delivery shall be separately prescribed by the Exchange.</w:t>
            </w:r>
          </w:p>
        </w:tc>
        <w:tc>
          <w:tcPr>
            <w:tcW w:w="7370" w:type="dxa"/>
          </w:tcPr>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b/>
                <w:bCs/>
                <w:kern w:val="0"/>
                <w:sz w:val="24"/>
                <w14:ligatures w14:val="none"/>
              </w:rPr>
              <w:t>Article 196</w:t>
            </w:r>
            <w:r>
              <w:rPr>
                <w:rFonts w:hint="default" w:ascii="Times New Roman" w:hAnsi="Times New Roman" w:eastAsia="宋体" w:cs="Times New Roman"/>
                <w:b/>
                <w:bCs/>
                <w:kern w:val="0"/>
                <w:sz w:val="24"/>
                <w14:ligatures w14:val="none"/>
              </w:rPr>
              <w:tab/>
            </w:r>
            <w:r>
              <w:rPr>
                <w:rFonts w:hint="default" w:ascii="Times New Roman" w:hAnsi="Times New Roman" w:eastAsia="宋体" w:cs="Times New Roman"/>
                <w:kern w:val="0"/>
                <w:sz w:val="24"/>
                <w14:ligatures w14:val="none"/>
              </w:rPr>
              <w:t>The formula for the delivery payment for a TSR 20 bonded standard warrant is:</w:t>
            </w:r>
          </w:p>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kern w:val="0"/>
                <w:sz w:val="24"/>
                <w14:ligatures w14:val="none"/>
              </w:rPr>
              <w:t>Delivery Payment for Expired Contract = (Bonded Final Settlement Price + Premiums and Discounts of the Delivery) × Delivery Quantity;</w:t>
            </w:r>
          </w:p>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kern w:val="0"/>
                <w:sz w:val="24"/>
                <w14:ligatures w14:val="none"/>
              </w:rPr>
              <w:t>EFP Delivery Payment = (EFP Bonded Final Settlement Price + Premiums and Discounts of the Delivery) × Delivery Quantity.</w:t>
            </w:r>
          </w:p>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kern w:val="0"/>
                <w:sz w:val="24"/>
                <w14:ligatures w14:val="none"/>
              </w:rPr>
              <w:t>During final settlement, each bonded standard warrant shall represent one hundred point eight (100.8) metric tons of the delivery commodity.</w:t>
            </w:r>
          </w:p>
          <w:p>
            <w:pPr>
              <w:snapToGrid w:val="0"/>
              <w:spacing w:after="312" w:afterLines="100" w:line="276" w:lineRule="auto"/>
              <w:jc w:val="both"/>
              <w:rPr>
                <w:rFonts w:hint="default" w:ascii="Times New Roman" w:hAnsi="Times New Roman" w:eastAsia="宋体" w:cs="Times New Roman"/>
                <w:b/>
                <w:kern w:val="0"/>
                <w:sz w:val="24"/>
                <w14:ligatures w14:val="none"/>
              </w:rPr>
            </w:pPr>
            <w:r>
              <w:rPr>
                <w:rFonts w:hint="default" w:ascii="Times New Roman" w:hAnsi="Times New Roman" w:eastAsia="宋体" w:cs="Times New Roman"/>
                <w:kern w:val="0"/>
                <w:sz w:val="24"/>
                <w14:ligatures w14:val="none"/>
              </w:rPr>
              <w:t>The requirements and management of the tax invoices for TSR 20 futures contract shall be separately announced by the Exchange. Such tax invoices shall be circulated by the procedures under Chapter 2 of these Delivery Rules.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tcPr>
          <w:p>
            <w:pPr>
              <w:snapToGrid w:val="0"/>
              <w:spacing w:after="312" w:afterLines="100" w:line="276" w:lineRule="auto"/>
              <w:jc w:val="both"/>
              <w:rPr>
                <w:rFonts w:hint="default" w:ascii="Times New Roman" w:hAnsi="Times New Roman" w:eastAsia="宋体" w:cs="Times New Roman"/>
                <w:b/>
                <w:kern w:val="0"/>
                <w:sz w:val="24"/>
                <w14:ligatures w14:val="none"/>
              </w:rPr>
            </w:pPr>
            <w:r>
              <w:rPr>
                <w:rFonts w:hint="default" w:ascii="Times New Roman" w:hAnsi="Times New Roman" w:eastAsia="宋体" w:cs="Times New Roman"/>
                <w:b/>
                <w:bCs/>
                <w:kern w:val="0"/>
                <w:sz w:val="24"/>
                <w14:ligatures w14:val="none"/>
              </w:rPr>
              <w:t>Article 22</w:t>
            </w:r>
            <w:r>
              <w:rPr>
                <w:rFonts w:hint="default" w:ascii="Times New Roman" w:hAnsi="Times New Roman" w:eastAsia="宋体" w:cs="Times New Roman"/>
                <w:b/>
                <w:bCs/>
                <w:dstrike/>
                <w:kern w:val="0"/>
                <w:sz w:val="24"/>
                <w14:ligatures w14:val="none"/>
              </w:rPr>
              <w:t>4</w:t>
            </w:r>
            <w:r>
              <w:rPr>
                <w:rFonts w:hint="default" w:ascii="Times New Roman" w:hAnsi="Times New Roman" w:eastAsia="宋体" w:cs="Times New Roman"/>
                <w:b/>
                <w:bCs/>
                <w:color w:val="EE0000"/>
                <w:kern w:val="0"/>
                <w:sz w:val="24"/>
                <w14:ligatures w14:val="none"/>
              </w:rPr>
              <w:t>5</w:t>
            </w:r>
            <w:r>
              <w:rPr>
                <w:rFonts w:hint="default" w:ascii="Times New Roman" w:hAnsi="Times New Roman" w:eastAsia="宋体" w:cs="Times New Roman"/>
                <w:b/>
                <w:bCs/>
                <w:kern w:val="0"/>
                <w:sz w:val="24"/>
                <w14:ligatures w14:val="none"/>
              </w:rPr>
              <w:tab/>
            </w:r>
            <w:r>
              <w:rPr>
                <w:rFonts w:hint="default" w:ascii="Times New Roman" w:hAnsi="Times New Roman" w:eastAsia="宋体" w:cs="Times New Roman"/>
                <w:kern w:val="0"/>
                <w:sz w:val="24"/>
                <w14:ligatures w14:val="none"/>
              </w:rPr>
              <w:t xml:space="preserve">These Delivery Rules are effective from </w:t>
            </w:r>
            <w:r>
              <w:rPr>
                <w:rFonts w:hint="eastAsia" w:ascii="Times New Roman" w:hAnsi="Times New Roman"/>
                <w:b/>
                <w:bCs/>
                <w:color w:val="FF0000"/>
                <w:kern w:val="0"/>
                <w:sz w:val="24"/>
                <w:szCs w:val="24"/>
                <w:highlight w:val="none"/>
              </w:rPr>
              <w:t>Ju</w:t>
            </w:r>
            <w:r>
              <w:rPr>
                <w:rFonts w:hint="eastAsia" w:ascii="Times New Roman" w:hAnsi="Times New Roman"/>
                <w:b/>
                <w:bCs/>
                <w:color w:val="FF0000"/>
                <w:kern w:val="0"/>
                <w:sz w:val="24"/>
                <w:szCs w:val="24"/>
                <w:highlight w:val="none"/>
                <w:lang w:val="en-US" w:eastAsia="zh-CN"/>
              </w:rPr>
              <w:t>ly</w:t>
            </w:r>
            <w:r>
              <w:rPr>
                <w:rFonts w:hint="eastAsia" w:ascii="Times New Roman" w:hAnsi="Times New Roman"/>
                <w:b/>
                <w:bCs/>
                <w:color w:val="FF0000"/>
                <w:kern w:val="0"/>
                <w:sz w:val="24"/>
                <w:szCs w:val="24"/>
                <w:highlight w:val="none"/>
              </w:rPr>
              <w:t xml:space="preserve"> </w:t>
            </w:r>
            <w:r>
              <w:rPr>
                <w:rFonts w:hint="eastAsia" w:ascii="Times New Roman" w:hAnsi="Times New Roman"/>
                <w:b/>
                <w:bCs/>
                <w:color w:val="FF0000"/>
                <w:kern w:val="0"/>
                <w:sz w:val="24"/>
                <w:szCs w:val="24"/>
                <w:highlight w:val="none"/>
                <w:lang w:val="en-US" w:eastAsia="zh-CN"/>
              </w:rPr>
              <w:t>25</w:t>
            </w:r>
            <w:r>
              <w:rPr>
                <w:rFonts w:hint="eastAsia" w:ascii="Times New Roman" w:hAnsi="Times New Roman"/>
                <w:b/>
                <w:bCs/>
                <w:color w:val="FF0000"/>
                <w:kern w:val="0"/>
                <w:sz w:val="24"/>
                <w:szCs w:val="24"/>
                <w:highlight w:val="none"/>
              </w:rPr>
              <w:t>, 2026</w:t>
            </w:r>
            <w:r>
              <w:rPr>
                <w:rFonts w:hint="default" w:ascii="Times New Roman" w:hAnsi="Times New Roman" w:eastAsia="宋体" w:cs="Times New Roman"/>
                <w:kern w:val="0"/>
                <w:sz w:val="24"/>
                <w14:ligatures w14:val="none"/>
              </w:rPr>
              <w:t xml:space="preserve"> </w:t>
            </w:r>
            <w:r>
              <w:rPr>
                <w:rFonts w:hint="default" w:ascii="Times New Roman" w:hAnsi="Times New Roman" w:eastAsia="宋体" w:cs="Times New Roman"/>
                <w:dstrike/>
                <w:kern w:val="0"/>
                <w:sz w:val="24"/>
                <w14:ligatures w14:val="none"/>
              </w:rPr>
              <w:t>June 18, 2026.</w:t>
            </w:r>
          </w:p>
        </w:tc>
        <w:tc>
          <w:tcPr>
            <w:tcW w:w="7370" w:type="dxa"/>
          </w:tcPr>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b/>
                <w:bCs/>
                <w:kern w:val="0"/>
                <w:sz w:val="24"/>
                <w14:ligatures w14:val="none"/>
              </w:rPr>
              <w:t>Article 224</w:t>
            </w:r>
            <w:r>
              <w:rPr>
                <w:rFonts w:hint="default" w:ascii="Times New Roman" w:hAnsi="Times New Roman" w:eastAsia="宋体" w:cs="Times New Roman"/>
                <w:b/>
                <w:bCs/>
                <w:kern w:val="0"/>
                <w:sz w:val="24"/>
                <w14:ligatures w14:val="none"/>
              </w:rPr>
              <w:tab/>
            </w:r>
            <w:r>
              <w:rPr>
                <w:rFonts w:hint="default" w:ascii="Times New Roman" w:hAnsi="Times New Roman" w:eastAsia="宋体" w:cs="Times New Roman"/>
                <w:kern w:val="0"/>
                <w:sz w:val="24"/>
                <w14:ligatures w14:val="none"/>
              </w:rPr>
              <w:t>These Delivery Rules are effective from June 18, 2026.</w:t>
            </w:r>
          </w:p>
        </w:tc>
      </w:tr>
    </w:tbl>
    <w:p>
      <w:pPr>
        <w:snapToGrid w:val="0"/>
        <w:spacing w:after="312" w:afterLines="100" w:line="276" w:lineRule="auto"/>
        <w:rPr>
          <w:rFonts w:ascii="Times New Roman" w:hAnsi="Times New Roman" w:cs="Times New Roman"/>
          <w:sz w:val="24"/>
        </w:rPr>
      </w:pPr>
      <w:bookmarkStart w:id="0" w:name="_GoBack"/>
      <w:bookmarkEnd w:id="0"/>
    </w:p>
    <w:p>
      <w:pPr>
        <w:rPr>
          <w:rFonts w:hint="eastAsia"/>
        </w:rPr>
      </w:pPr>
    </w:p>
    <w:sectPr>
      <w:footerReference r:id="rId5" w:type="default"/>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等线">
    <w:altName w:val="宋体"/>
    <w:panose1 w:val="02010600030101010101"/>
    <w:charset w:val="86"/>
    <w:family w:val="auto"/>
    <w:pitch w:val="default"/>
    <w:sig w:usb0="00000000" w:usb1="00000000" w:usb2="00000016" w:usb3="00000000" w:csb0="0004000F" w:csb1="00000000"/>
  </w:font>
  <w:font w:name="等线">
    <w:altName w:val="华文中宋"/>
    <w:panose1 w:val="00000000000000000000"/>
    <w:charset w:val="86"/>
    <w:family w:val="auto"/>
    <w:pitch w:val="default"/>
    <w:sig w:usb0="00000000" w:usb1="00000000" w:usb2="00000000" w:usb3="00000000" w:csb0="00000000" w:csb1="00000000"/>
  </w:font>
  <w:font w:name="等线">
    <w:altName w:val="华文中宋"/>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方正大标宋简体">
    <w:panose1 w:val="02000000000000000000"/>
    <w:charset w:val="86"/>
    <w:family w:val="auto"/>
    <w:pitch w:val="default"/>
    <w:sig w:usb0="00000001" w:usb1="08000000" w:usb2="00000000" w:usb3="00000000" w:csb0="00040000" w:csb1="00000000"/>
  </w:font>
  <w:font w:name="方正仿宋简体">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等线 Light">
    <w:altName w:val="华文中宋"/>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11"/>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491"/>
    <w:rsid w:val="00022491"/>
    <w:rsid w:val="002C2076"/>
    <w:rsid w:val="005D0B3A"/>
    <w:rsid w:val="006B662B"/>
    <w:rsid w:val="007C2AB4"/>
    <w:rsid w:val="009F25AB"/>
    <w:rsid w:val="00C62C02"/>
    <w:rsid w:val="00D078D5"/>
    <w:rsid w:val="00DB5C49"/>
    <w:rsid w:val="00E67C65"/>
    <w:rsid w:val="18566CA0"/>
    <w:rsid w:val="23FB5745"/>
    <w:rsid w:val="256F0C2E"/>
    <w:rsid w:val="2BEF03F8"/>
    <w:rsid w:val="37EF8851"/>
    <w:rsid w:val="76F746E3"/>
    <w:rsid w:val="77FA381D"/>
    <w:rsid w:val="7D3DCA0D"/>
    <w:rsid w:val="BD3F1CC5"/>
    <w:rsid w:val="BDEF72BA"/>
    <w:rsid w:val="BFEDEB3E"/>
    <w:rsid w:val="CFF3324A"/>
    <w:rsid w:val="EFFAEE54"/>
    <w:rsid w:val="F8EFADDB"/>
    <w:rsid w:val="F8FB1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line="240" w:lineRule="auto"/>
      <w:jc w:val="both"/>
      <w:outlineLvl w:val="0"/>
    </w:pPr>
    <w:rPr>
      <w:rFonts w:asciiTheme="majorHAnsi" w:hAnsiTheme="majorHAnsi" w:eastAsiaTheme="majorEastAsia" w:cstheme="majorBidi"/>
      <w:color w:val="2F5597" w:themeColor="accent1" w:themeShade="BF"/>
      <w:sz w:val="48"/>
      <w:szCs w:val="48"/>
      <w14:ligatures w14:val="none"/>
    </w:rPr>
  </w:style>
  <w:style w:type="paragraph" w:styleId="3">
    <w:name w:val="heading 2"/>
    <w:basedOn w:val="1"/>
    <w:next w:val="1"/>
    <w:link w:val="19"/>
    <w:semiHidden/>
    <w:unhideWhenUsed/>
    <w:qFormat/>
    <w:uiPriority w:val="9"/>
    <w:pPr>
      <w:keepNext/>
      <w:keepLines/>
      <w:spacing w:before="160" w:after="80" w:line="240" w:lineRule="auto"/>
      <w:jc w:val="both"/>
      <w:outlineLvl w:val="1"/>
    </w:pPr>
    <w:rPr>
      <w:rFonts w:asciiTheme="majorHAnsi" w:hAnsiTheme="majorHAnsi" w:eastAsiaTheme="majorEastAsia" w:cstheme="majorBidi"/>
      <w:color w:val="2F5597" w:themeColor="accent1" w:themeShade="BF"/>
      <w:sz w:val="40"/>
      <w:szCs w:val="40"/>
      <w14:ligatures w14:val="none"/>
    </w:rPr>
  </w:style>
  <w:style w:type="paragraph" w:styleId="4">
    <w:name w:val="heading 3"/>
    <w:basedOn w:val="1"/>
    <w:next w:val="1"/>
    <w:link w:val="20"/>
    <w:semiHidden/>
    <w:unhideWhenUsed/>
    <w:qFormat/>
    <w:uiPriority w:val="9"/>
    <w:pPr>
      <w:keepNext/>
      <w:keepLines/>
      <w:spacing w:before="160" w:after="80" w:line="240" w:lineRule="auto"/>
      <w:jc w:val="both"/>
      <w:outlineLvl w:val="2"/>
    </w:pPr>
    <w:rPr>
      <w:rFonts w:asciiTheme="majorHAnsi" w:hAnsiTheme="majorHAnsi" w:eastAsiaTheme="majorEastAsia" w:cstheme="majorBidi"/>
      <w:color w:val="2F5597" w:themeColor="accent1" w:themeShade="BF"/>
      <w:sz w:val="32"/>
      <w:szCs w:val="32"/>
      <w14:ligatures w14:val="none"/>
    </w:rPr>
  </w:style>
  <w:style w:type="paragraph" w:styleId="5">
    <w:name w:val="heading 4"/>
    <w:basedOn w:val="1"/>
    <w:next w:val="1"/>
    <w:link w:val="21"/>
    <w:semiHidden/>
    <w:unhideWhenUsed/>
    <w:qFormat/>
    <w:uiPriority w:val="9"/>
    <w:pPr>
      <w:keepNext/>
      <w:keepLines/>
      <w:spacing w:before="80" w:after="40" w:line="240" w:lineRule="auto"/>
      <w:jc w:val="both"/>
      <w:outlineLvl w:val="3"/>
    </w:pPr>
    <w:rPr>
      <w:rFonts w:cstheme="majorBidi"/>
      <w:color w:val="2F5597" w:themeColor="accent1" w:themeShade="BF"/>
      <w:sz w:val="28"/>
      <w:szCs w:val="28"/>
      <w14:ligatures w14:val="none"/>
    </w:rPr>
  </w:style>
  <w:style w:type="paragraph" w:styleId="6">
    <w:name w:val="heading 5"/>
    <w:basedOn w:val="1"/>
    <w:next w:val="1"/>
    <w:link w:val="22"/>
    <w:semiHidden/>
    <w:unhideWhenUsed/>
    <w:qFormat/>
    <w:uiPriority w:val="9"/>
    <w:pPr>
      <w:keepNext/>
      <w:keepLines/>
      <w:spacing w:before="80" w:after="40" w:line="240" w:lineRule="auto"/>
      <w:jc w:val="both"/>
      <w:outlineLvl w:val="4"/>
    </w:pPr>
    <w:rPr>
      <w:rFonts w:cstheme="majorBidi"/>
      <w:color w:val="2F5597" w:themeColor="accent1" w:themeShade="BF"/>
      <w:sz w:val="24"/>
      <w14:ligatures w14:val="none"/>
    </w:rPr>
  </w:style>
  <w:style w:type="paragraph" w:styleId="7">
    <w:name w:val="heading 6"/>
    <w:basedOn w:val="1"/>
    <w:next w:val="1"/>
    <w:link w:val="23"/>
    <w:semiHidden/>
    <w:unhideWhenUsed/>
    <w:qFormat/>
    <w:uiPriority w:val="9"/>
    <w:pPr>
      <w:keepNext/>
      <w:keepLines/>
      <w:spacing w:before="40" w:after="0" w:line="240" w:lineRule="auto"/>
      <w:jc w:val="both"/>
      <w:outlineLvl w:val="5"/>
    </w:pPr>
    <w:rPr>
      <w:rFonts w:cstheme="majorBidi"/>
      <w:b/>
      <w:bCs/>
      <w:color w:val="2F5597" w:themeColor="accent1" w:themeShade="BF"/>
      <w:sz w:val="21"/>
      <w:szCs w:val="22"/>
      <w14:ligatures w14:val="none"/>
    </w:rPr>
  </w:style>
  <w:style w:type="paragraph" w:styleId="8">
    <w:name w:val="heading 7"/>
    <w:basedOn w:val="1"/>
    <w:next w:val="1"/>
    <w:link w:val="24"/>
    <w:semiHidden/>
    <w:unhideWhenUsed/>
    <w:qFormat/>
    <w:uiPriority w:val="9"/>
    <w:pPr>
      <w:keepNext/>
      <w:keepLines/>
      <w:spacing w:before="40" w:after="0" w:line="240" w:lineRule="auto"/>
      <w:jc w:val="both"/>
      <w:outlineLvl w:val="6"/>
    </w:pPr>
    <w:rPr>
      <w:rFonts w:cstheme="majorBidi"/>
      <w:b/>
      <w:bCs/>
      <w:color w:val="595959" w:themeColor="text1" w:themeTint="A6"/>
      <w:sz w:val="21"/>
      <w:szCs w:val="22"/>
      <w14:textFill>
        <w14:solidFill>
          <w14:schemeClr w14:val="tx1">
            <w14:lumMod w14:val="65000"/>
            <w14:lumOff w14:val="35000"/>
          </w14:schemeClr>
        </w14:solidFill>
      </w14:textFill>
      <w14:ligatures w14:val="none"/>
    </w:rPr>
  </w:style>
  <w:style w:type="paragraph" w:styleId="9">
    <w:name w:val="heading 8"/>
    <w:basedOn w:val="1"/>
    <w:next w:val="1"/>
    <w:link w:val="25"/>
    <w:semiHidden/>
    <w:unhideWhenUsed/>
    <w:qFormat/>
    <w:uiPriority w:val="9"/>
    <w:pPr>
      <w:keepNext/>
      <w:keepLines/>
      <w:spacing w:after="0" w:line="240" w:lineRule="auto"/>
      <w:jc w:val="both"/>
      <w:outlineLvl w:val="7"/>
    </w:pPr>
    <w:rPr>
      <w:rFonts w:cstheme="majorBidi"/>
      <w:color w:val="595959" w:themeColor="text1" w:themeTint="A6"/>
      <w:sz w:val="21"/>
      <w:szCs w:val="22"/>
      <w14:textFill>
        <w14:solidFill>
          <w14:schemeClr w14:val="tx1">
            <w14:lumMod w14:val="65000"/>
            <w14:lumOff w14:val="35000"/>
          </w14:schemeClr>
        </w14:solidFill>
      </w14:textFill>
      <w14:ligatures w14:val="none"/>
    </w:rPr>
  </w:style>
  <w:style w:type="paragraph" w:styleId="10">
    <w:name w:val="heading 9"/>
    <w:basedOn w:val="1"/>
    <w:next w:val="1"/>
    <w:link w:val="26"/>
    <w:semiHidden/>
    <w:unhideWhenUsed/>
    <w:qFormat/>
    <w:uiPriority w:val="9"/>
    <w:pPr>
      <w:keepNext/>
      <w:keepLines/>
      <w:spacing w:after="0" w:line="240" w:lineRule="auto"/>
      <w:jc w:val="both"/>
      <w:outlineLvl w:val="8"/>
    </w:pPr>
    <w:rPr>
      <w:rFonts w:eastAsiaTheme="majorEastAsia" w:cstheme="majorBidi"/>
      <w:color w:val="595959" w:themeColor="text1" w:themeTint="A6"/>
      <w:sz w:val="21"/>
      <w:szCs w:val="22"/>
      <w14:textFill>
        <w14:solidFill>
          <w14:schemeClr w14:val="tx1">
            <w14:lumMod w14:val="65000"/>
            <w14:lumOff w14:val="35000"/>
          </w14:schemeClr>
        </w14:solidFill>
      </w14:textFill>
      <w14:ligatures w14:val="none"/>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after="0" w:line="240" w:lineRule="auto"/>
    </w:pPr>
    <w:rPr>
      <w:sz w:val="18"/>
      <w:szCs w:val="18"/>
      <w14:ligatures w14:val="none"/>
    </w:rPr>
  </w:style>
  <w:style w:type="paragraph" w:styleId="12">
    <w:name w:val="header"/>
    <w:basedOn w:val="1"/>
    <w:link w:val="36"/>
    <w:unhideWhenUsed/>
    <w:qFormat/>
    <w:uiPriority w:val="99"/>
    <w:pPr>
      <w:tabs>
        <w:tab w:val="center" w:pos="4153"/>
        <w:tab w:val="right" w:pos="8306"/>
      </w:tabs>
      <w:snapToGrid w:val="0"/>
      <w:spacing w:after="0" w:line="240" w:lineRule="auto"/>
      <w:jc w:val="center"/>
    </w:pPr>
    <w:rPr>
      <w:sz w:val="18"/>
      <w:szCs w:val="18"/>
      <w14:ligatures w14:val="none"/>
    </w:rPr>
  </w:style>
  <w:style w:type="paragraph" w:styleId="13">
    <w:name w:val="Subtitle"/>
    <w:basedOn w:val="1"/>
    <w:next w:val="1"/>
    <w:link w:val="28"/>
    <w:qFormat/>
    <w:uiPriority w:val="11"/>
    <w:pPr>
      <w:spacing w:line="240"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none"/>
    </w:rPr>
  </w:style>
  <w:style w:type="paragraph" w:styleId="14">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14:ligatures w14:val="none"/>
    </w:rPr>
  </w:style>
  <w:style w:type="table" w:styleId="16">
    <w:name w:val="Table Grid"/>
    <w:basedOn w:val="15"/>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7"/>
    <w:link w:val="5"/>
    <w:semiHidden/>
    <w:qFormat/>
    <w:uiPriority w:val="9"/>
    <w:rPr>
      <w:rFonts w:cstheme="majorBidi"/>
      <w:color w:val="2F5597" w:themeColor="accent1" w:themeShade="BF"/>
      <w:sz w:val="28"/>
      <w:szCs w:val="28"/>
    </w:rPr>
  </w:style>
  <w:style w:type="character" w:customStyle="1" w:styleId="22">
    <w:name w:val="标题 5 字符"/>
    <w:basedOn w:val="17"/>
    <w:link w:val="6"/>
    <w:semiHidden/>
    <w:qFormat/>
    <w:uiPriority w:val="9"/>
    <w:rPr>
      <w:rFonts w:cstheme="majorBidi"/>
      <w:color w:val="2F5597" w:themeColor="accent1" w:themeShade="BF"/>
      <w:sz w:val="24"/>
      <w:szCs w:val="24"/>
    </w:rPr>
  </w:style>
  <w:style w:type="character" w:customStyle="1" w:styleId="23">
    <w:name w:val="标题 6 字符"/>
    <w:basedOn w:val="17"/>
    <w:link w:val="7"/>
    <w:semiHidden/>
    <w:qFormat/>
    <w:uiPriority w:val="9"/>
    <w:rPr>
      <w:rFonts w:cstheme="majorBidi"/>
      <w:b/>
      <w:bCs/>
      <w:color w:val="2F5597"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line="240" w:lineRule="auto"/>
      <w:jc w:val="center"/>
    </w:pPr>
    <w:rPr>
      <w:i/>
      <w:iCs/>
      <w:color w:val="404040" w:themeColor="text1" w:themeTint="BF"/>
      <w:sz w:val="21"/>
      <w:szCs w:val="22"/>
      <w14:textFill>
        <w14:solidFill>
          <w14:schemeClr w14:val="tx1">
            <w14:lumMod w14:val="75000"/>
            <w14:lumOff w14:val="25000"/>
          </w14:schemeClr>
        </w14:solidFill>
      </w14:textFill>
      <w14:ligatures w14:val="none"/>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spacing w:after="0" w:line="240" w:lineRule="auto"/>
      <w:ind w:left="720"/>
      <w:contextualSpacing/>
      <w:jc w:val="both"/>
    </w:pPr>
    <w:rPr>
      <w:sz w:val="21"/>
      <w:szCs w:val="22"/>
      <w14:ligatures w14:val="none"/>
    </w:rPr>
  </w:style>
  <w:style w:type="character" w:customStyle="1" w:styleId="32">
    <w:name w:val="Intense Emphasis"/>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line="240" w:lineRule="auto"/>
      <w:ind w:left="864" w:right="864"/>
      <w:jc w:val="center"/>
    </w:pPr>
    <w:rPr>
      <w:i/>
      <w:iCs/>
      <w:color w:val="2F5597" w:themeColor="accent1" w:themeShade="BF"/>
      <w:sz w:val="21"/>
      <w:szCs w:val="22"/>
      <w14:ligatures w14:val="none"/>
    </w:rPr>
  </w:style>
  <w:style w:type="character" w:customStyle="1" w:styleId="34">
    <w:name w:val="明显引用 字符"/>
    <w:basedOn w:val="17"/>
    <w:link w:val="33"/>
    <w:qFormat/>
    <w:uiPriority w:val="30"/>
    <w:rPr>
      <w:i/>
      <w:iCs/>
      <w:color w:val="2F5597" w:themeColor="accent1" w:themeShade="BF"/>
    </w:rPr>
  </w:style>
  <w:style w:type="character" w:customStyle="1" w:styleId="35">
    <w:name w:val="Intense Reference"/>
    <w:basedOn w:val="17"/>
    <w:qFormat/>
    <w:uiPriority w:val="32"/>
    <w:rPr>
      <w:b/>
      <w:bCs/>
      <w:smallCaps/>
      <w:color w:val="2F5597"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B0B612-8298-427A-BD6A-F62C8102EAB7}">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5275</Words>
  <Characters>29281</Characters>
  <Lines>563</Lines>
  <Paragraphs>162</Paragraphs>
  <TotalTime>0</TotalTime>
  <ScaleCrop>false</ScaleCrop>
  <LinksUpToDate>false</LinksUpToDate>
  <CharactersWithSpaces>34394</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2026-06-03T19:16:00Z</dcterms:created>
  <dc:creator>法律部</dc:creator>
  <cp:lastModifiedBy>zhang.hui</cp:lastModifiedBy>
  <cp:lastPrinted>2026-06-05T10:42:00Z</cp:lastPrinted>
  <dcterms:modified xsi:type="dcterms:W3CDTF">2026-06-25T09:42:20Z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6AEB2F21F1A116D4DCA01E6AFE45559B</vt:lpwstr>
  </property>
</Properties>
</file>