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120" w:afterLines="50"/>
        <w:jc w:val="center"/>
        <w:rPr>
          <w:rFonts w:cs="Times New Roman"/>
          <w:b/>
          <w:bCs/>
          <w:sz w:val="28"/>
          <w:szCs w:val="28"/>
        </w:rPr>
      </w:pPr>
      <w:bookmarkStart w:id="0" w:name="_Hlk231227356"/>
    </w:p>
    <w:p>
      <w:pPr>
        <w:snapToGrid w:val="0"/>
        <w:spacing w:after="120" w:afterLines="50"/>
        <w:jc w:val="center"/>
        <w:rPr>
          <w:rFonts w:cs="Times New Roman"/>
          <w:b/>
          <w:bCs/>
          <w:sz w:val="28"/>
          <w:szCs w:val="28"/>
        </w:rPr>
      </w:pPr>
      <w:r>
        <w:rPr>
          <w:rFonts w:hint="eastAsia" w:cs="Times New Roman"/>
          <w:b/>
          <w:bCs/>
          <w:sz w:val="28"/>
          <w:szCs w:val="28"/>
        </w:rPr>
        <w:t>Shanghai International Energy Exchange</w:t>
      </w:r>
    </w:p>
    <w:p>
      <w:pPr>
        <w:snapToGrid w:val="0"/>
        <w:spacing w:after="240" w:afterLines="100"/>
        <w:jc w:val="center"/>
        <w:rPr>
          <w:rFonts w:cs="Times New Roman"/>
          <w:b/>
          <w:bCs/>
          <w:sz w:val="28"/>
          <w:szCs w:val="28"/>
        </w:rPr>
      </w:pPr>
      <w:r>
        <w:rPr>
          <w:rFonts w:cs="Times New Roman"/>
          <w:b/>
          <w:bCs/>
          <w:sz w:val="28"/>
          <w:szCs w:val="28"/>
        </w:rPr>
        <w:t xml:space="preserve">Settlement Guidelines </w:t>
      </w:r>
      <w:r>
        <w:rPr>
          <w:rFonts w:hint="eastAsia" w:cs="Times New Roman"/>
          <w:b/>
          <w:bCs/>
          <w:sz w:val="28"/>
          <w:szCs w:val="28"/>
        </w:rPr>
        <w:t xml:space="preserve">for </w:t>
      </w:r>
      <w:r>
        <w:rPr>
          <w:rFonts w:cs="Times New Roman"/>
          <w:b/>
          <w:bCs/>
          <w:sz w:val="28"/>
          <w:szCs w:val="28"/>
        </w:rPr>
        <w:t xml:space="preserve">Overseas Delivery </w:t>
      </w:r>
      <w:r>
        <w:rPr>
          <w:rFonts w:hint="eastAsia" w:cs="Times New Roman"/>
          <w:b/>
          <w:bCs/>
          <w:sz w:val="28"/>
          <w:szCs w:val="28"/>
        </w:rPr>
        <w:t xml:space="preserve">against </w:t>
      </w:r>
      <w:r>
        <w:rPr>
          <w:rFonts w:cs="Times New Roman"/>
          <w:b/>
          <w:bCs/>
          <w:sz w:val="28"/>
          <w:szCs w:val="28"/>
        </w:rPr>
        <w:t>TSR 20 Futures</w:t>
      </w:r>
    </w:p>
    <w:bookmarkEnd w:id="0"/>
    <w:p>
      <w:pPr>
        <w:tabs>
          <w:tab w:val="left" w:pos="1418"/>
        </w:tabs>
        <w:snapToGrid w:val="0"/>
        <w:spacing w:after="240" w:afterLines="100"/>
        <w:jc w:val="center"/>
        <w:rPr>
          <w:rFonts w:cs="Times New Roman"/>
          <w:b/>
          <w:bCs/>
        </w:rPr>
      </w:pPr>
    </w:p>
    <w:p>
      <w:pPr>
        <w:tabs>
          <w:tab w:val="left" w:pos="1418"/>
        </w:tabs>
        <w:snapToGrid w:val="0"/>
        <w:spacing w:after="240" w:afterLines="100"/>
        <w:jc w:val="center"/>
        <w:rPr>
          <w:rFonts w:cs="Times New Roman"/>
          <w:b/>
          <w:bCs/>
        </w:rPr>
      </w:pPr>
      <w:r>
        <w:rPr>
          <w:rFonts w:cs="Times New Roman"/>
          <w:b/>
          <w:bCs/>
        </w:rPr>
        <w:t xml:space="preserve">Chapter </w:t>
      </w:r>
      <w:r>
        <w:rPr>
          <w:rFonts w:hint="eastAsia" w:cs="Times New Roman"/>
          <w:b/>
          <w:bCs/>
        </w:rPr>
        <w:t>1</w:t>
      </w:r>
      <w:r>
        <w:rPr>
          <w:rFonts w:cs="Times New Roman"/>
          <w:b/>
          <w:bCs/>
        </w:rPr>
        <w:tab/>
      </w:r>
      <w:r>
        <w:rPr>
          <w:rFonts w:cs="Times New Roman"/>
          <w:b/>
          <w:bCs/>
        </w:rPr>
        <w:t>General Provisions</w:t>
      </w:r>
    </w:p>
    <w:p>
      <w:pPr>
        <w:tabs>
          <w:tab w:val="left" w:pos="3261"/>
        </w:tabs>
        <w:snapToGrid w:val="0"/>
        <w:spacing w:after="240" w:afterLines="100"/>
        <w:rPr>
          <w:rFonts w:cs="Times New Roman"/>
        </w:rPr>
      </w:pPr>
      <w:r>
        <w:rPr>
          <w:rFonts w:cs="Times New Roman"/>
          <w:b/>
          <w:bCs/>
        </w:rPr>
        <w:t>Article 1</w:t>
      </w:r>
      <w:r>
        <w:rPr>
          <w:rFonts w:hint="eastAsia" w:cs="Times New Roman"/>
          <w:b/>
          <w:bCs/>
        </w:rPr>
        <w:t xml:space="preserve"> </w:t>
      </w:r>
      <w:r>
        <w:rPr>
          <w:rFonts w:cs="Times New Roman"/>
          <w:b/>
          <w:bCs/>
        </w:rPr>
        <w:t>[</w:t>
      </w:r>
      <w:r>
        <w:rPr>
          <w:rFonts w:hint="eastAsia" w:cs="Times New Roman"/>
          <w:b/>
          <w:bCs/>
        </w:rPr>
        <w:t xml:space="preserve">Legal </w:t>
      </w:r>
      <w:r>
        <w:rPr>
          <w:rFonts w:cs="Times New Roman"/>
          <w:b/>
          <w:bCs/>
        </w:rPr>
        <w:t>Basis]</w:t>
      </w:r>
      <w:r>
        <w:rPr>
          <w:rFonts w:hint="eastAsia" w:cs="Times New Roman"/>
          <w:b/>
          <w:bCs/>
        </w:rPr>
        <w:t xml:space="preserve"> </w:t>
      </w:r>
      <w:r>
        <w:rPr>
          <w:rFonts w:cs="Times New Roman"/>
        </w:rPr>
        <w:t>These</w:t>
      </w:r>
      <w:r>
        <w:rPr>
          <w:rFonts w:cs="Times New Roman"/>
          <w:b/>
          <w:bCs/>
        </w:rPr>
        <w:t xml:space="preserve"> </w:t>
      </w:r>
      <w:r>
        <w:rPr>
          <w:rFonts w:cs="Times New Roman"/>
          <w:i/>
          <w:iCs/>
        </w:rPr>
        <w:t>Settlement Guidelines for Overseas Delivery against TSR 20 Futures</w:t>
      </w:r>
      <w:r>
        <w:rPr>
          <w:rFonts w:cs="Times New Roman"/>
        </w:rPr>
        <w:t xml:space="preserve"> (“</w:t>
      </w:r>
      <w:r>
        <w:rPr>
          <w:rFonts w:cs="Times New Roman"/>
          <w:b/>
          <w:bCs/>
          <w:i/>
          <w:iCs/>
        </w:rPr>
        <w:t>Guidelines</w:t>
      </w:r>
      <w:r>
        <w:rPr>
          <w:rFonts w:cs="Times New Roman"/>
        </w:rPr>
        <w:t>”) are made in accordance with the</w:t>
      </w:r>
      <w:r>
        <w:rPr>
          <w:rFonts w:cs="Times New Roman"/>
          <w:i/>
          <w:iCs/>
        </w:rPr>
        <w:t xml:space="preserve"> Futures and Derivatives Law of the People’s Republic of China</w:t>
      </w:r>
      <w:r>
        <w:rPr>
          <w:rFonts w:cs="Times New Roman"/>
        </w:rPr>
        <w:t xml:space="preserve">, the </w:t>
      </w:r>
      <w:r>
        <w:rPr>
          <w:rFonts w:cs="Times New Roman"/>
          <w:i/>
          <w:iCs/>
        </w:rPr>
        <w:t>Regulations on Administration of Futures Trading</w:t>
      </w:r>
      <w:r>
        <w:rPr>
          <w:rFonts w:cs="Times New Roman"/>
        </w:rPr>
        <w:t xml:space="preserve">, the </w:t>
      </w:r>
      <w:r>
        <w:rPr>
          <w:rFonts w:cs="Times New Roman"/>
          <w:i/>
          <w:iCs/>
        </w:rPr>
        <w:t>Interim Measures for the Administration of Overseas Traders’ and Overseas Brokers’ Engagement in the Trading of Specified Domestic Futures Products</w:t>
      </w:r>
      <w:r>
        <w:rPr>
          <w:rFonts w:cs="Times New Roman"/>
        </w:rPr>
        <w:t>, relevant provisions of the State Administration of Foreign Exchange</w:t>
      </w:r>
      <w:r>
        <w:rPr>
          <w:rFonts w:hint="eastAsia" w:cs="Times New Roman"/>
        </w:rPr>
        <w:t xml:space="preserve"> (</w:t>
      </w:r>
      <w:r>
        <w:rPr>
          <w:rFonts w:cs="Times New Roman"/>
        </w:rPr>
        <w:t>“</w:t>
      </w:r>
      <w:r>
        <w:rPr>
          <w:rFonts w:hint="eastAsia" w:cs="Times New Roman"/>
          <w:b/>
          <w:bCs/>
        </w:rPr>
        <w:t>SAFE</w:t>
      </w:r>
      <w:r>
        <w:rPr>
          <w:rFonts w:cs="Times New Roman"/>
        </w:rPr>
        <w:t>”</w:t>
      </w:r>
      <w:r>
        <w:rPr>
          <w:rFonts w:hint="eastAsia" w:cs="Times New Roman"/>
        </w:rPr>
        <w:t>)</w:t>
      </w:r>
      <w:r>
        <w:rPr>
          <w:rFonts w:cs="Times New Roman"/>
        </w:rPr>
        <w:t xml:space="preserve">, as well as applicable rules of </w:t>
      </w:r>
      <w:r>
        <w:rPr>
          <w:rFonts w:hint="eastAsia" w:cs="Times New Roman"/>
        </w:rPr>
        <w:t xml:space="preserve">the Shanghai International Exchange (the </w:t>
      </w:r>
      <w:r>
        <w:rPr>
          <w:rFonts w:cs="Times New Roman"/>
        </w:rPr>
        <w:t>“</w:t>
      </w:r>
      <w:r>
        <w:rPr>
          <w:rFonts w:cs="Times New Roman"/>
          <w:b/>
          <w:bCs/>
        </w:rPr>
        <w:t>Exchange</w:t>
      </w:r>
      <w:r>
        <w:rPr>
          <w:rFonts w:cs="Times New Roman"/>
        </w:rPr>
        <w:t>”</w:t>
      </w:r>
      <w:r>
        <w:rPr>
          <w:rFonts w:hint="eastAsia" w:cs="Times New Roman"/>
        </w:rPr>
        <w:t>)</w:t>
      </w:r>
      <w:r>
        <w:rPr>
          <w:rFonts w:cs="Times New Roman"/>
        </w:rPr>
        <w:t xml:space="preserve"> including the </w:t>
      </w:r>
      <w:r>
        <w:rPr>
          <w:rFonts w:cs="Times New Roman"/>
          <w:i/>
          <w:iCs/>
        </w:rPr>
        <w:t xml:space="preserve">Delivery Rules </w:t>
      </w:r>
      <w:r>
        <w:rPr>
          <w:rFonts w:hint="eastAsia" w:cs="Times New Roman"/>
          <w:i/>
          <w:iCs/>
        </w:rPr>
        <w:t xml:space="preserve">of the Shanghai International </w:t>
      </w:r>
      <w:r>
        <w:rPr>
          <w:rFonts w:cs="Times New Roman"/>
          <w:i/>
          <w:iCs/>
        </w:rPr>
        <w:t>Energy</w:t>
      </w:r>
      <w:r>
        <w:rPr>
          <w:rFonts w:hint="eastAsia" w:cs="Times New Roman"/>
          <w:i/>
          <w:iCs/>
        </w:rPr>
        <w:t xml:space="preserve"> Exchange</w:t>
      </w:r>
      <w:r>
        <w:rPr>
          <w:rFonts w:hint="eastAsia" w:cs="Times New Roman"/>
        </w:rPr>
        <w:t xml:space="preserve"> </w:t>
      </w:r>
      <w:r>
        <w:rPr>
          <w:rFonts w:cs="Times New Roman"/>
        </w:rPr>
        <w:t xml:space="preserve">and the </w:t>
      </w:r>
      <w:r>
        <w:rPr>
          <w:rFonts w:hint="eastAsia" w:cs="Times New Roman"/>
          <w:i/>
          <w:iCs/>
        </w:rPr>
        <w:t xml:space="preserve">Clearing </w:t>
      </w:r>
      <w:r>
        <w:rPr>
          <w:rFonts w:cs="Times New Roman"/>
          <w:i/>
          <w:iCs/>
        </w:rPr>
        <w:t>Rules</w:t>
      </w:r>
      <w:r>
        <w:rPr>
          <w:rFonts w:hint="eastAsia" w:cs="Times New Roman"/>
          <w:i/>
          <w:iCs/>
        </w:rPr>
        <w:t xml:space="preserve"> of the Shanghai International </w:t>
      </w:r>
      <w:r>
        <w:rPr>
          <w:rFonts w:cs="Times New Roman"/>
          <w:i/>
          <w:iCs/>
        </w:rPr>
        <w:t>Energy</w:t>
      </w:r>
      <w:r>
        <w:rPr>
          <w:rFonts w:hint="eastAsia" w:cs="Times New Roman"/>
          <w:i/>
          <w:iCs/>
        </w:rPr>
        <w:t xml:space="preserve"> Exchange</w:t>
      </w:r>
      <w:r>
        <w:rPr>
          <w:rFonts w:cs="Times New Roman"/>
        </w:rPr>
        <w:t xml:space="preserve"> to </w:t>
      </w:r>
      <w:r>
        <w:rPr>
          <w:rFonts w:hint="eastAsia" w:cs="Times New Roman"/>
        </w:rPr>
        <w:t xml:space="preserve">ensure </w:t>
      </w:r>
      <w:r>
        <w:rPr>
          <w:rFonts w:cs="Times New Roman"/>
        </w:rPr>
        <w:t>an orderly</w:t>
      </w:r>
      <w:r>
        <w:rPr>
          <w:rFonts w:hint="eastAsia" w:cs="Times New Roman"/>
        </w:rPr>
        <w:t xml:space="preserve"> </w:t>
      </w:r>
      <w:r>
        <w:rPr>
          <w:rFonts w:cs="Times New Roman"/>
        </w:rPr>
        <w:t>settlement process in overseas</w:t>
      </w:r>
      <w:r>
        <w:rPr>
          <w:rFonts w:hint="eastAsia" w:cs="Times New Roman"/>
        </w:rPr>
        <w:t xml:space="preserve"> </w:t>
      </w:r>
      <w:r>
        <w:rPr>
          <w:rFonts w:cs="Times New Roman"/>
        </w:rPr>
        <w:t xml:space="preserve">deliveries </w:t>
      </w:r>
      <w:r>
        <w:rPr>
          <w:rFonts w:hint="eastAsia" w:cs="Times New Roman"/>
        </w:rPr>
        <w:t>against</w:t>
      </w:r>
      <w:r>
        <w:rPr>
          <w:rFonts w:cs="Times New Roman"/>
        </w:rPr>
        <w:t xml:space="preserve"> the</w:t>
      </w:r>
      <w:r>
        <w:rPr>
          <w:rFonts w:hint="eastAsia" w:cs="Times New Roman"/>
        </w:rPr>
        <w:t xml:space="preserve"> </w:t>
      </w:r>
      <w:r>
        <w:rPr>
          <w:rFonts w:cs="Times New Roman"/>
        </w:rPr>
        <w:t xml:space="preserve">TSR 20 futures of the </w:t>
      </w:r>
      <w:r>
        <w:rPr>
          <w:rFonts w:hint="eastAsia" w:cs="Times New Roman"/>
        </w:rPr>
        <w:t>Exchange</w:t>
      </w:r>
      <w:r>
        <w:rPr>
          <w:rFonts w:cs="Times New Roman"/>
        </w:rPr>
        <w:t>.</w:t>
      </w:r>
    </w:p>
    <w:p>
      <w:pPr>
        <w:snapToGrid w:val="0"/>
        <w:spacing w:after="240" w:afterLines="100"/>
        <w:rPr>
          <w:rFonts w:cs="Times New Roman"/>
        </w:rPr>
      </w:pPr>
      <w:r>
        <w:rPr>
          <w:rFonts w:cs="Times New Roman"/>
          <w:b/>
          <w:bCs/>
        </w:rPr>
        <w:t>Article 2</w:t>
      </w:r>
      <w:r>
        <w:rPr>
          <w:rFonts w:hint="eastAsia" w:cs="Times New Roman"/>
          <w:b/>
          <w:bCs/>
        </w:rPr>
        <w:t xml:space="preserve"> </w:t>
      </w:r>
      <w:r>
        <w:rPr>
          <w:rFonts w:cs="Times New Roman"/>
          <w:b/>
          <w:bCs/>
        </w:rPr>
        <w:t xml:space="preserve">[Settlement Requirements </w:t>
      </w:r>
      <w:r>
        <w:rPr>
          <w:rFonts w:hint="eastAsia" w:cs="Times New Roman"/>
          <w:b/>
          <w:bCs/>
        </w:rPr>
        <w:t xml:space="preserve">on </w:t>
      </w:r>
      <w:r>
        <w:rPr>
          <w:rFonts w:cs="Times New Roman"/>
          <w:b/>
          <w:bCs/>
        </w:rPr>
        <w:t>Overseas Delivery]</w:t>
      </w:r>
      <w:r>
        <w:rPr>
          <w:rFonts w:hint="eastAsia" w:cs="Times New Roman"/>
          <w:b/>
          <w:bCs/>
        </w:rPr>
        <w:t xml:space="preserve"> </w:t>
      </w:r>
      <w:r>
        <w:rPr>
          <w:rFonts w:cs="Times New Roman"/>
        </w:rPr>
        <w:t xml:space="preserve">Members shall conduct settlement </w:t>
      </w:r>
      <w:r>
        <w:rPr>
          <w:rFonts w:hint="eastAsia" w:cs="Times New Roman"/>
        </w:rPr>
        <w:t xml:space="preserve">for </w:t>
      </w:r>
      <w:r>
        <w:rPr>
          <w:rFonts w:cs="Times New Roman"/>
        </w:rPr>
        <w:t xml:space="preserve">overseas delivery </w:t>
      </w:r>
      <w:r>
        <w:rPr>
          <w:rFonts w:hint="eastAsia" w:cs="Times New Roman"/>
        </w:rPr>
        <w:t xml:space="preserve">against </w:t>
      </w:r>
      <w:r>
        <w:rPr>
          <w:rFonts w:cs="Times New Roman"/>
        </w:rPr>
        <w:t xml:space="preserve">TSR 20 futures through the Exchange. Domestic traders, overseas traders, and overseas brokers shall conduct settlement </w:t>
      </w:r>
      <w:r>
        <w:rPr>
          <w:rFonts w:hint="eastAsia" w:cs="Times New Roman"/>
        </w:rPr>
        <w:t xml:space="preserve">for </w:t>
      </w:r>
      <w:r>
        <w:rPr>
          <w:rFonts w:cs="Times New Roman"/>
        </w:rPr>
        <w:t xml:space="preserve">overseas delivery </w:t>
      </w:r>
      <w:r>
        <w:rPr>
          <w:rFonts w:hint="eastAsia" w:cs="Times New Roman"/>
        </w:rPr>
        <w:t xml:space="preserve">against </w:t>
      </w:r>
      <w:r>
        <w:rPr>
          <w:rFonts w:cs="Times New Roman"/>
        </w:rPr>
        <w:t>TSR 20 futures through a F</w:t>
      </w:r>
      <w:r>
        <w:rPr>
          <w:rFonts w:hint="eastAsia" w:cs="Times New Roman"/>
        </w:rPr>
        <w:t xml:space="preserve">utures </w:t>
      </w:r>
      <w:r>
        <w:rPr>
          <w:rFonts w:cs="Times New Roman"/>
        </w:rPr>
        <w:t>F</w:t>
      </w:r>
      <w:r>
        <w:rPr>
          <w:rFonts w:hint="eastAsia" w:cs="Times New Roman"/>
        </w:rPr>
        <w:t>irm</w:t>
      </w:r>
      <w:r>
        <w:rPr>
          <w:rFonts w:cs="Times New Roman"/>
        </w:rPr>
        <w:t xml:space="preserve"> Member </w:t>
      </w:r>
      <w:r>
        <w:rPr>
          <w:rFonts w:hint="eastAsia" w:cs="Times New Roman"/>
        </w:rPr>
        <w:t>(</w:t>
      </w:r>
      <w:r>
        <w:rPr>
          <w:rFonts w:cs="Times New Roman"/>
        </w:rPr>
        <w:t>“</w:t>
      </w:r>
      <w:r>
        <w:rPr>
          <w:rFonts w:hint="eastAsia" w:cs="Times New Roman"/>
          <w:b/>
          <w:bCs/>
        </w:rPr>
        <w:t>FF Member</w:t>
      </w:r>
      <w:r>
        <w:rPr>
          <w:rFonts w:cs="Times New Roman"/>
        </w:rPr>
        <w:t>”</w:t>
      </w:r>
      <w:r>
        <w:rPr>
          <w:rFonts w:hint="eastAsia" w:cs="Times New Roman"/>
        </w:rPr>
        <w:t xml:space="preserve">) </w:t>
      </w:r>
      <w:r>
        <w:rPr>
          <w:rFonts w:cs="Times New Roman"/>
        </w:rPr>
        <w:t xml:space="preserve">of the Exchange. </w:t>
      </w:r>
      <w:r>
        <w:rPr>
          <w:rFonts w:hint="eastAsia" w:cs="Times New Roman"/>
        </w:rPr>
        <w:t xml:space="preserve">Direct </w:t>
      </w:r>
      <w:r>
        <w:rPr>
          <w:rFonts w:cs="Times New Roman"/>
        </w:rPr>
        <w:t>settlement between parties is not supported at this stage.</w:t>
      </w:r>
    </w:p>
    <w:p>
      <w:pPr>
        <w:snapToGrid w:val="0"/>
        <w:spacing w:after="240" w:afterLines="100"/>
        <w:rPr>
          <w:rFonts w:cs="Times New Roman"/>
        </w:rPr>
      </w:pPr>
      <w:r>
        <w:rPr>
          <w:rFonts w:cs="Times New Roman"/>
        </w:rPr>
        <w:t xml:space="preserve">The settlement of payment for overseas delivery </w:t>
      </w:r>
      <w:r>
        <w:rPr>
          <w:rFonts w:hint="eastAsia" w:cs="Times New Roman"/>
        </w:rPr>
        <w:t>against</w:t>
      </w:r>
      <w:r>
        <w:rPr>
          <w:rFonts w:cs="Times New Roman"/>
        </w:rPr>
        <w:t xml:space="preserve"> </w:t>
      </w:r>
      <w:r>
        <w:rPr>
          <w:rFonts w:hint="eastAsia" w:cs="Times New Roman"/>
        </w:rPr>
        <w:t xml:space="preserve">matured </w:t>
      </w:r>
      <w:r>
        <w:rPr>
          <w:rFonts w:cs="Times New Roman"/>
        </w:rPr>
        <w:t xml:space="preserve">TSR 20 futures contracts, and the settlement of payment </w:t>
      </w:r>
      <w:r>
        <w:rPr>
          <w:rFonts w:hint="eastAsia" w:cs="Times New Roman"/>
        </w:rPr>
        <w:t xml:space="preserve">under exchange of futures for </w:t>
      </w:r>
      <w:r>
        <w:rPr>
          <w:rFonts w:cs="Times New Roman"/>
        </w:rPr>
        <w:t xml:space="preserve">physicals (EFP) transactions using TSR 20 </w:t>
      </w:r>
      <w:r>
        <w:rPr>
          <w:rFonts w:hint="eastAsia" w:cs="Times New Roman"/>
        </w:rPr>
        <w:t>o</w:t>
      </w:r>
      <w:r>
        <w:rPr>
          <w:rFonts w:cs="Times New Roman"/>
        </w:rPr>
        <w:t xml:space="preserve">verseas </w:t>
      </w:r>
      <w:r>
        <w:rPr>
          <w:rFonts w:hint="eastAsia" w:cs="Times New Roman"/>
        </w:rPr>
        <w:t>s</w:t>
      </w:r>
      <w:r>
        <w:rPr>
          <w:rFonts w:cs="Times New Roman"/>
        </w:rPr>
        <w:t xml:space="preserve">tandard </w:t>
      </w:r>
      <w:r>
        <w:rPr>
          <w:rFonts w:hint="eastAsia" w:cs="Times New Roman"/>
        </w:rPr>
        <w:t>w</w:t>
      </w:r>
      <w:r>
        <w:rPr>
          <w:rFonts w:cs="Times New Roman"/>
        </w:rPr>
        <w:t xml:space="preserve">arrants, shall be executed in accordance with specific provisions </w:t>
      </w:r>
      <w:r>
        <w:rPr>
          <w:rFonts w:hint="eastAsia" w:cs="Times New Roman"/>
        </w:rPr>
        <w:t>on</w:t>
      </w:r>
      <w:r>
        <w:rPr>
          <w:rFonts w:cs="Times New Roman"/>
        </w:rPr>
        <w:t xml:space="preserve"> the TSR 20 </w:t>
      </w:r>
      <w:r>
        <w:rPr>
          <w:rFonts w:hint="eastAsia" w:cs="Times New Roman"/>
        </w:rPr>
        <w:t>f</w:t>
      </w:r>
      <w:r>
        <w:rPr>
          <w:rFonts w:cs="Times New Roman"/>
        </w:rPr>
        <w:t xml:space="preserve">utures contract in the </w:t>
      </w:r>
      <w:r>
        <w:rPr>
          <w:rFonts w:cs="Times New Roman"/>
          <w:i/>
          <w:iCs/>
        </w:rPr>
        <w:t>Clearing Rules of the Shanghai International Energy Exchange</w:t>
      </w:r>
      <w:r>
        <w:rPr>
          <w:rFonts w:cs="Times New Roman"/>
        </w:rPr>
        <w:t xml:space="preserve"> and the </w:t>
      </w:r>
      <w:r>
        <w:rPr>
          <w:rFonts w:cs="Times New Roman"/>
          <w:i/>
          <w:iCs/>
        </w:rPr>
        <w:t>Delivery Rules of the Shanghai International Energy Exchange</w:t>
      </w:r>
      <w:r>
        <w:rPr>
          <w:rFonts w:cs="Times New Roman"/>
        </w:rPr>
        <w:t>.</w:t>
      </w:r>
    </w:p>
    <w:p>
      <w:pPr>
        <w:snapToGrid w:val="0"/>
        <w:spacing w:after="240" w:afterLines="100"/>
        <w:rPr>
          <w:rFonts w:cs="Times New Roman"/>
        </w:rPr>
      </w:pPr>
      <w:r>
        <w:rPr>
          <w:rFonts w:cs="Times New Roman"/>
          <w:b/>
          <w:bCs/>
        </w:rPr>
        <w:t>Article 3</w:t>
      </w:r>
      <w:r>
        <w:rPr>
          <w:rFonts w:hint="eastAsia" w:cs="Times New Roman"/>
          <w:b/>
          <w:bCs/>
        </w:rPr>
        <w:t xml:space="preserve"> </w:t>
      </w:r>
      <w:r>
        <w:rPr>
          <w:rFonts w:cs="Times New Roman"/>
          <w:b/>
          <w:bCs/>
        </w:rPr>
        <w:t xml:space="preserve">[Consolidated Management of Settlement Accounts </w:t>
      </w:r>
      <w:r>
        <w:rPr>
          <w:rFonts w:hint="eastAsia" w:cs="Times New Roman"/>
          <w:b/>
          <w:bCs/>
        </w:rPr>
        <w:t xml:space="preserve">Opened with </w:t>
      </w:r>
      <w:r>
        <w:rPr>
          <w:rFonts w:cs="Times New Roman"/>
          <w:b/>
          <w:bCs/>
        </w:rPr>
        <w:t>Designated Depository Bank</w:t>
      </w:r>
      <w:r>
        <w:rPr>
          <w:rFonts w:hint="eastAsia" w:cs="Times New Roman"/>
          <w:b/>
          <w:bCs/>
        </w:rPr>
        <w:t>s</w:t>
      </w:r>
      <w:r>
        <w:rPr>
          <w:rFonts w:cs="Times New Roman"/>
          <w:b/>
          <w:bCs/>
        </w:rPr>
        <w:t>]</w:t>
      </w:r>
      <w:r>
        <w:rPr>
          <w:rFonts w:cs="Times New Roman"/>
        </w:rPr>
        <w:t xml:space="preserve"> Domestic traders and Non-Futures Firm Members (“</w:t>
      </w:r>
      <w:r>
        <w:rPr>
          <w:rFonts w:cs="Times New Roman"/>
          <w:b/>
          <w:bCs/>
        </w:rPr>
        <w:t>Non-FF Members</w:t>
      </w:r>
      <w:r>
        <w:rPr>
          <w:rFonts w:cs="Times New Roman"/>
        </w:rPr>
        <w:t xml:space="preserve">”) shall conduct both the purchase in the overseas delivery and the sale of the corresponding offshore goods at the same branch of a Designated Depository Bank. If the goods are transported back to China for customs declaration and importation (border entry), domestic traders and Non-FF Members shall conduct both the purchase in the overseas delivery and the declaration for the domestic payment at the same branch of a Designated Depository Bank. Domestic traders and Non-FF Members shall report to the branch of the Designated Depository Bank </w:t>
      </w:r>
      <w:r>
        <w:rPr>
          <w:rFonts w:hint="eastAsia" w:cs="Times New Roman"/>
        </w:rPr>
        <w:t xml:space="preserve">with </w:t>
      </w:r>
      <w:r>
        <w:rPr>
          <w:rFonts w:cs="Times New Roman"/>
        </w:rPr>
        <w:t>wh</w:t>
      </w:r>
      <w:r>
        <w:rPr>
          <w:rFonts w:hint="eastAsia" w:cs="Times New Roman"/>
        </w:rPr>
        <w:t>ich</w:t>
      </w:r>
      <w:r>
        <w:rPr>
          <w:rFonts w:cs="Times New Roman"/>
        </w:rPr>
        <w:t xml:space="preserve"> their settlement account is </w:t>
      </w:r>
      <w:r>
        <w:rPr>
          <w:rFonts w:hint="eastAsia" w:cs="Times New Roman"/>
        </w:rPr>
        <w:t>opened</w:t>
      </w:r>
      <w:r>
        <w:rPr>
          <w:rFonts w:cs="Times New Roman"/>
        </w:rPr>
        <w:t xml:space="preserve"> within five (5) business days from the completion of the settlement </w:t>
      </w:r>
      <w:r>
        <w:rPr>
          <w:rFonts w:hint="eastAsia" w:cs="Times New Roman"/>
        </w:rPr>
        <w:t xml:space="preserve">for </w:t>
      </w:r>
      <w:r>
        <w:rPr>
          <w:rFonts w:cs="Times New Roman"/>
        </w:rPr>
        <w:t>overseas delivery.</w:t>
      </w:r>
    </w:p>
    <w:p>
      <w:pPr>
        <w:snapToGrid w:val="0"/>
        <w:spacing w:after="240" w:afterLines="100"/>
        <w:jc w:val="center"/>
        <w:rPr>
          <w:rFonts w:cs="Times New Roman"/>
          <w:b/>
          <w:bCs/>
        </w:rPr>
      </w:pPr>
      <w:r>
        <w:rPr>
          <w:rFonts w:cs="Times New Roman"/>
          <w:b/>
          <w:bCs/>
        </w:rPr>
        <w:t xml:space="preserve">Chapter </w:t>
      </w:r>
      <w:r>
        <w:rPr>
          <w:rFonts w:hint="eastAsia" w:cs="Times New Roman"/>
          <w:b/>
          <w:bCs/>
        </w:rPr>
        <w:t>2</w:t>
      </w:r>
      <w:r>
        <w:rPr>
          <w:rFonts w:cs="Times New Roman"/>
          <w:b/>
          <w:bCs/>
        </w:rPr>
        <w:tab/>
      </w:r>
      <w:r>
        <w:rPr>
          <w:rFonts w:hint="eastAsia" w:cs="Times New Roman"/>
          <w:b/>
          <w:bCs/>
        </w:rPr>
        <w:t xml:space="preserve">Administration </w:t>
      </w:r>
      <w:r>
        <w:rPr>
          <w:rFonts w:cs="Times New Roman"/>
          <w:b/>
          <w:bCs/>
        </w:rPr>
        <w:t>of the Enterprise Directory for Trade-Related Foreign Exchange Receipts and Payments</w:t>
      </w:r>
    </w:p>
    <w:p>
      <w:pPr>
        <w:snapToGrid w:val="0"/>
        <w:spacing w:after="240" w:afterLines="100"/>
        <w:rPr>
          <w:rFonts w:cs="Times New Roman"/>
        </w:rPr>
      </w:pPr>
      <w:r>
        <w:rPr>
          <w:rFonts w:cs="Times New Roman"/>
          <w:b/>
          <w:bCs/>
        </w:rPr>
        <w:t>Article 4</w:t>
      </w:r>
      <w:r>
        <w:rPr>
          <w:rFonts w:hint="eastAsia" w:cs="Times New Roman"/>
          <w:b/>
          <w:bCs/>
        </w:rPr>
        <w:t xml:space="preserve"> </w:t>
      </w:r>
      <w:r>
        <w:rPr>
          <w:rFonts w:cs="Times New Roman"/>
          <w:b/>
          <w:bCs/>
        </w:rPr>
        <w:t xml:space="preserve">[Registration in the Enterprise Directory for Trade-Related Foreign Exchange Receipts and Payments] </w:t>
      </w:r>
      <w:r>
        <w:rPr>
          <w:rFonts w:cs="Times New Roman"/>
        </w:rPr>
        <w:t xml:space="preserve">Members and domestic traders may only commence the receipt and payment of funds for trade in goods under overseas delivery </w:t>
      </w:r>
      <w:r>
        <w:rPr>
          <w:rFonts w:hint="eastAsia" w:cs="Times New Roman"/>
        </w:rPr>
        <w:t xml:space="preserve">against </w:t>
      </w:r>
      <w:r>
        <w:rPr>
          <w:rFonts w:cs="Times New Roman"/>
        </w:rPr>
        <w:t xml:space="preserve">TSR 20 futures after they have completed the registration </w:t>
      </w:r>
      <w:r>
        <w:rPr>
          <w:rFonts w:hint="eastAsia" w:cs="Times New Roman"/>
        </w:rPr>
        <w:t xml:space="preserve">in </w:t>
      </w:r>
      <w:r>
        <w:rPr>
          <w:rFonts w:cs="Times New Roman"/>
        </w:rPr>
        <w:t xml:space="preserve">the “Enterprise Directory for Trade-Related Foreign Exchange Receipts and Payments” </w:t>
      </w:r>
      <w:r>
        <w:rPr>
          <w:rFonts w:hint="eastAsia" w:cs="Times New Roman"/>
        </w:rPr>
        <w:t>(</w:t>
      </w:r>
      <w:r>
        <w:rPr>
          <w:rFonts w:cs="Times New Roman"/>
        </w:rPr>
        <w:t>“</w:t>
      </w:r>
      <w:r>
        <w:rPr>
          <w:rFonts w:hint="eastAsia" w:cs="Times New Roman"/>
          <w:b/>
          <w:bCs/>
        </w:rPr>
        <w:t>Enterprise Directory</w:t>
      </w:r>
      <w:r>
        <w:rPr>
          <w:rFonts w:cs="Times New Roman"/>
        </w:rPr>
        <w:t>”</w:t>
      </w:r>
      <w:r>
        <w:rPr>
          <w:rFonts w:hint="eastAsia" w:cs="Times New Roman"/>
        </w:rPr>
        <w:t>)</w:t>
      </w:r>
      <w:r>
        <w:rPr>
          <w:rFonts w:cs="Times New Roman"/>
        </w:rPr>
        <w:t xml:space="preserve">at a domestic bank, in accordance with the </w:t>
      </w:r>
      <w:r>
        <w:rPr>
          <w:rFonts w:cs="Times New Roman"/>
          <w:i/>
          <w:iCs/>
        </w:rPr>
        <w:t xml:space="preserve">Notice of the State Administration of Foreign Exchange on Further </w:t>
      </w:r>
      <w:r>
        <w:rPr>
          <w:rFonts w:hint="eastAsia" w:cs="Times New Roman"/>
          <w:i/>
          <w:iCs/>
        </w:rPr>
        <w:t>Improving</w:t>
      </w:r>
      <w:r>
        <w:rPr>
          <w:rFonts w:cs="Times New Roman"/>
          <w:i/>
          <w:iCs/>
        </w:rPr>
        <w:t xml:space="preserve"> the Administration of Trade-Related Foreign Exchange</w:t>
      </w:r>
      <w:r>
        <w:rPr>
          <w:rFonts w:cs="Times New Roman"/>
        </w:rPr>
        <w:t>.</w:t>
      </w:r>
    </w:p>
    <w:p>
      <w:pPr>
        <w:snapToGrid w:val="0"/>
        <w:spacing w:after="240" w:afterLines="100"/>
        <w:rPr>
          <w:rFonts w:cs="Times New Roman"/>
        </w:rPr>
      </w:pPr>
      <w:r>
        <w:rPr>
          <w:rFonts w:cs="Times New Roman"/>
          <w:b/>
          <w:bCs/>
        </w:rPr>
        <w:t>Article 5</w:t>
      </w:r>
      <w:r>
        <w:rPr>
          <w:rFonts w:hint="eastAsia" w:cs="Times New Roman"/>
          <w:b/>
          <w:bCs/>
        </w:rPr>
        <w:t xml:space="preserve"> </w:t>
      </w:r>
      <w:r>
        <w:rPr>
          <w:rFonts w:cs="Times New Roman"/>
          <w:b/>
          <w:bCs/>
        </w:rPr>
        <w:t xml:space="preserve">[Classification Requirements </w:t>
      </w:r>
      <w:r>
        <w:rPr>
          <w:rFonts w:hint="eastAsia" w:cs="Times New Roman"/>
          <w:b/>
          <w:bCs/>
        </w:rPr>
        <w:t>under</w:t>
      </w:r>
      <w:r>
        <w:rPr>
          <w:rFonts w:cs="Times New Roman"/>
          <w:b/>
          <w:bCs/>
        </w:rPr>
        <w:t xml:space="preserve"> the Enterprise Directory]</w:t>
      </w:r>
      <w:r>
        <w:rPr>
          <w:rFonts w:cs="Times New Roman"/>
        </w:rPr>
        <w:t xml:space="preserve"> FF Members handling the receipt and payment of funds for trade in goods under overseas delivery </w:t>
      </w:r>
      <w:r>
        <w:rPr>
          <w:rFonts w:hint="eastAsia" w:cs="Times New Roman"/>
        </w:rPr>
        <w:t xml:space="preserve">against </w:t>
      </w:r>
      <w:r>
        <w:rPr>
          <w:rFonts w:cs="Times New Roman"/>
        </w:rPr>
        <w:t>TSR 20 futures shall satisfy the relevant requirements in the</w:t>
      </w:r>
      <w:r>
        <w:rPr>
          <w:rFonts w:cs="Times New Roman"/>
          <w:i/>
          <w:iCs/>
        </w:rPr>
        <w:t xml:space="preserve"> Notice of the State Administration of Foreign Exchange on Issues Concerning Foreign Exchange Administration for Overseas Traders and Overseas Brokers Engaged in Trading of Specifi</w:t>
      </w:r>
      <w:r>
        <w:rPr>
          <w:rFonts w:hint="eastAsia" w:cs="Times New Roman"/>
          <w:i/>
          <w:iCs/>
        </w:rPr>
        <w:t>ed</w:t>
      </w:r>
      <w:r>
        <w:rPr>
          <w:rFonts w:cs="Times New Roman"/>
          <w:i/>
          <w:iCs/>
        </w:rPr>
        <w:t xml:space="preserve"> Domestic Futures Products</w:t>
      </w:r>
      <w:r>
        <w:rPr>
          <w:rFonts w:cs="Times New Roman"/>
        </w:rPr>
        <w:t>.</w:t>
      </w:r>
    </w:p>
    <w:p>
      <w:pPr>
        <w:snapToGrid w:val="0"/>
        <w:spacing w:after="240" w:afterLines="100"/>
        <w:rPr>
          <w:rFonts w:cs="Times New Roman"/>
        </w:rPr>
      </w:pPr>
      <w:r>
        <w:rPr>
          <w:rFonts w:cs="Times New Roman"/>
        </w:rPr>
        <w:t xml:space="preserve">Domestic traders or Non-FF Members handling the receipt and payment of funds for trade in goods under overseas delivery </w:t>
      </w:r>
      <w:r>
        <w:rPr>
          <w:rFonts w:hint="eastAsia" w:cs="Times New Roman"/>
        </w:rPr>
        <w:t xml:space="preserve">against </w:t>
      </w:r>
      <w:r>
        <w:rPr>
          <w:rFonts w:cs="Times New Roman"/>
        </w:rPr>
        <w:t xml:space="preserve">TSR 20 futures shall be enterprises with import and export </w:t>
      </w:r>
      <w:r>
        <w:rPr>
          <w:rFonts w:hint="eastAsia" w:cs="Times New Roman"/>
        </w:rPr>
        <w:t xml:space="preserve">license. They must be </w:t>
      </w:r>
      <w:r>
        <w:rPr>
          <w:rFonts w:cs="Times New Roman"/>
        </w:rPr>
        <w:t xml:space="preserve">classified as a Category A enterprise for purpose of foreign exchange administration for trade in goods, </w:t>
      </w:r>
      <w:r>
        <w:rPr>
          <w:rFonts w:hint="eastAsia" w:cs="Times New Roman"/>
        </w:rPr>
        <w:t xml:space="preserve">and </w:t>
      </w:r>
      <w:r>
        <w:rPr>
          <w:rFonts w:cs="Times New Roman"/>
        </w:rPr>
        <w:t>have not been subject to any penalties from the SAFE or its competent local branch within the last three year</w:t>
      </w:r>
      <w:r>
        <w:rPr>
          <w:rFonts w:hint="eastAsia" w:cs="Times New Roman"/>
        </w:rPr>
        <w:t>s</w:t>
      </w:r>
      <w:r>
        <w:rPr>
          <w:rFonts w:cs="Times New Roman"/>
        </w:rPr>
        <w:t>. For any domestic trader whose trade in goods classification is downgraded or who commits a foreign exchange violation, the Exchange shall</w:t>
      </w:r>
      <w:r>
        <w:rPr>
          <w:rFonts w:hint="eastAsia" w:cs="Times New Roman"/>
        </w:rPr>
        <w:t>,</w:t>
      </w:r>
      <w:r>
        <w:rPr>
          <w:rFonts w:cs="Times New Roman"/>
        </w:rPr>
        <w:t xml:space="preserve"> within five (5) business days from noticing</w:t>
      </w:r>
      <w:r>
        <w:rPr>
          <w:rFonts w:hint="eastAsia" w:cs="Times New Roman"/>
        </w:rPr>
        <w:t xml:space="preserve"> such facts, </w:t>
      </w:r>
      <w:r>
        <w:rPr>
          <w:rFonts w:cs="Times New Roman"/>
        </w:rPr>
        <w:t xml:space="preserve">order such trader to </w:t>
      </w:r>
      <w:r>
        <w:rPr>
          <w:rFonts w:hint="eastAsia" w:cs="Times New Roman"/>
        </w:rPr>
        <w:t xml:space="preserve">withdraw from such receipt and payment </w:t>
      </w:r>
      <w:r>
        <w:rPr>
          <w:rFonts w:cs="Times New Roman"/>
        </w:rPr>
        <w:t>business.</w:t>
      </w:r>
    </w:p>
    <w:p>
      <w:pPr>
        <w:snapToGrid w:val="0"/>
        <w:spacing w:after="240" w:afterLines="100"/>
        <w:rPr>
          <w:rFonts w:cs="Times New Roman"/>
        </w:rPr>
      </w:pPr>
      <w:r>
        <w:rPr>
          <w:rFonts w:cs="Times New Roman"/>
        </w:rPr>
        <w:t>Designated Depository Banks shall verify the directory status and classification status of Members and domestic traders when handling the receipt and payment of funds for trade in goods under overseas delivery</w:t>
      </w:r>
      <w:r>
        <w:rPr>
          <w:rFonts w:hint="eastAsia" w:cs="Times New Roman"/>
        </w:rPr>
        <w:t xml:space="preserve"> against </w:t>
      </w:r>
      <w:r>
        <w:rPr>
          <w:rFonts w:cs="Times New Roman"/>
        </w:rPr>
        <w:t>TSR 20 futures.</w:t>
      </w:r>
    </w:p>
    <w:p>
      <w:pPr>
        <w:snapToGrid w:val="0"/>
        <w:spacing w:after="240" w:afterLines="100"/>
        <w:jc w:val="center"/>
        <w:rPr>
          <w:rFonts w:cs="Times New Roman"/>
          <w:b/>
          <w:bCs/>
        </w:rPr>
      </w:pPr>
      <w:r>
        <w:rPr>
          <w:rFonts w:cs="Times New Roman"/>
          <w:b/>
          <w:bCs/>
        </w:rPr>
        <w:t xml:space="preserve">Chapter </w:t>
      </w:r>
      <w:r>
        <w:rPr>
          <w:rFonts w:hint="eastAsia" w:cs="Times New Roman"/>
          <w:b/>
          <w:bCs/>
        </w:rPr>
        <w:t>3</w:t>
      </w:r>
      <w:r>
        <w:rPr>
          <w:rFonts w:cs="Times New Roman"/>
          <w:b/>
          <w:bCs/>
        </w:rPr>
        <w:tab/>
      </w:r>
      <w:r>
        <w:rPr>
          <w:rFonts w:cs="Times New Roman"/>
          <w:b/>
          <w:bCs/>
        </w:rPr>
        <w:t>Administration of Trade in Goods</w:t>
      </w:r>
      <w:r>
        <w:rPr>
          <w:rFonts w:hint="eastAsia" w:cs="Times New Roman"/>
          <w:b/>
          <w:bCs/>
        </w:rPr>
        <w:t>-Related</w:t>
      </w:r>
      <w:r>
        <w:rPr>
          <w:rFonts w:cs="Times New Roman"/>
          <w:b/>
          <w:bCs/>
        </w:rPr>
        <w:t xml:space="preserve"> Receipts and Payments </w:t>
      </w:r>
      <w:r>
        <w:rPr>
          <w:rFonts w:hint="eastAsia" w:cs="Times New Roman"/>
          <w:b/>
          <w:bCs/>
        </w:rPr>
        <w:t>from</w:t>
      </w:r>
      <w:r>
        <w:rPr>
          <w:rFonts w:cs="Times New Roman"/>
          <w:b/>
          <w:bCs/>
        </w:rPr>
        <w:t xml:space="preserve"> Overseas Delivery </w:t>
      </w:r>
      <w:r>
        <w:rPr>
          <w:rFonts w:hint="eastAsia" w:cs="Times New Roman"/>
          <w:b/>
          <w:bCs/>
        </w:rPr>
        <w:t xml:space="preserve">against </w:t>
      </w:r>
      <w:r>
        <w:rPr>
          <w:rFonts w:cs="Times New Roman"/>
          <w:b/>
          <w:bCs/>
        </w:rPr>
        <w:t xml:space="preserve">TSR 20 Futures </w:t>
      </w:r>
    </w:p>
    <w:p>
      <w:pPr>
        <w:snapToGrid w:val="0"/>
        <w:spacing w:after="240" w:afterLines="100"/>
        <w:jc w:val="center"/>
        <w:rPr>
          <w:rFonts w:cs="Times New Roman"/>
          <w:b/>
          <w:bCs/>
        </w:rPr>
      </w:pPr>
      <w:r>
        <w:rPr>
          <w:rFonts w:cs="Times New Roman"/>
          <w:b/>
          <w:bCs/>
        </w:rPr>
        <w:t xml:space="preserve">Section </w:t>
      </w:r>
      <w:r>
        <w:rPr>
          <w:rFonts w:hint="eastAsia" w:cs="Times New Roman"/>
          <w:b/>
          <w:bCs/>
        </w:rPr>
        <w:t>1</w:t>
      </w:r>
      <w:r>
        <w:rPr>
          <w:rFonts w:cs="Times New Roman"/>
          <w:b/>
          <w:bCs/>
        </w:rPr>
        <w:tab/>
      </w:r>
      <w:r>
        <w:rPr>
          <w:rFonts w:cs="Times New Roman"/>
          <w:b/>
          <w:bCs/>
        </w:rPr>
        <w:t>Load-in</w:t>
      </w:r>
    </w:p>
    <w:p>
      <w:pPr>
        <w:snapToGrid w:val="0"/>
        <w:spacing w:after="240" w:afterLines="100"/>
        <w:rPr>
          <w:rFonts w:cs="Times New Roman"/>
        </w:rPr>
      </w:pPr>
      <w:r>
        <w:rPr>
          <w:rFonts w:cs="Times New Roman"/>
          <w:b/>
          <w:bCs/>
        </w:rPr>
        <w:t>Article 6</w:t>
      </w:r>
      <w:r>
        <w:rPr>
          <w:rFonts w:hint="eastAsia" w:cs="Times New Roman"/>
          <w:b/>
          <w:bCs/>
        </w:rPr>
        <w:t xml:space="preserve"> </w:t>
      </w:r>
      <w:r>
        <w:rPr>
          <w:rFonts w:cs="Times New Roman"/>
          <w:b/>
          <w:bCs/>
        </w:rPr>
        <w:t xml:space="preserve">[Source of Overseas Standard </w:t>
      </w:r>
      <w:r>
        <w:rPr>
          <w:rFonts w:hint="eastAsia" w:cs="Times New Roman"/>
          <w:b/>
          <w:bCs/>
        </w:rPr>
        <w:t>W</w:t>
      </w:r>
      <w:r>
        <w:rPr>
          <w:rFonts w:cs="Times New Roman"/>
          <w:b/>
          <w:bCs/>
        </w:rPr>
        <w:t xml:space="preserve">arrants] </w:t>
      </w:r>
      <w:r>
        <w:rPr>
          <w:rFonts w:cs="Times New Roman"/>
        </w:rPr>
        <w:t xml:space="preserve">The TSR 20 Overseas Standard </w:t>
      </w:r>
      <w:r>
        <w:rPr>
          <w:rFonts w:hint="eastAsia" w:cs="Times New Roman"/>
        </w:rPr>
        <w:t>W</w:t>
      </w:r>
      <w:r>
        <w:rPr>
          <w:rFonts w:cs="Times New Roman"/>
        </w:rPr>
        <w:t>arrants used for overseas delivery are issued by an overseas Factory for TSR 20, acting as the goods owner, based on its own production and processing capacity.</w:t>
      </w:r>
    </w:p>
    <w:p>
      <w:pPr>
        <w:snapToGrid w:val="0"/>
        <w:spacing w:after="240" w:afterLines="100"/>
        <w:rPr>
          <w:rFonts w:cs="Times New Roman"/>
        </w:rPr>
      </w:pPr>
      <w:r>
        <w:rPr>
          <w:rFonts w:cs="Times New Roman"/>
        </w:rPr>
        <w:t xml:space="preserve">The overseas Factory for TSR 20 shall apply for load-in through the Exchange’s Standard </w:t>
      </w:r>
      <w:r>
        <w:rPr>
          <w:rFonts w:hint="eastAsia" w:cs="Times New Roman"/>
        </w:rPr>
        <w:t>W</w:t>
      </w:r>
      <w:r>
        <w:rPr>
          <w:rFonts w:cs="Times New Roman"/>
        </w:rPr>
        <w:t>arrant Management System prior to delivery</w:t>
      </w:r>
      <w:r>
        <w:rPr>
          <w:rFonts w:hint="eastAsia" w:cs="Times New Roman"/>
        </w:rPr>
        <w:t>, and issue the</w:t>
      </w:r>
      <w:r>
        <w:rPr>
          <w:rFonts w:cs="Times New Roman"/>
        </w:rPr>
        <w:t xml:space="preserve"> TSR 20 Overseas Standard </w:t>
      </w:r>
      <w:r>
        <w:rPr>
          <w:rFonts w:hint="eastAsia" w:cs="Times New Roman"/>
        </w:rPr>
        <w:t>W</w:t>
      </w:r>
      <w:r>
        <w:rPr>
          <w:rFonts w:cs="Times New Roman"/>
        </w:rPr>
        <w:t>arrant</w:t>
      </w:r>
      <w:r>
        <w:rPr>
          <w:rFonts w:hint="eastAsia" w:cs="Times New Roman"/>
        </w:rPr>
        <w:t xml:space="preserve"> u</w:t>
      </w:r>
      <w:r>
        <w:rPr>
          <w:rFonts w:cs="Times New Roman"/>
        </w:rPr>
        <w:t xml:space="preserve">pon approval by the Exchange. The TSR 20 Overseas Standard warrant is valid for six (6) months from the date of issuance, and shall be cancelled immediately </w:t>
      </w:r>
      <w:r>
        <w:rPr>
          <w:rFonts w:hint="eastAsia" w:cs="Times New Roman"/>
        </w:rPr>
        <w:t xml:space="preserve">upon initial </w:t>
      </w:r>
      <w:r>
        <w:rPr>
          <w:rFonts w:cs="Times New Roman"/>
        </w:rPr>
        <w:t xml:space="preserve">delivery. TSR 20 Overseas Standard </w:t>
      </w:r>
      <w:r>
        <w:rPr>
          <w:rFonts w:hint="eastAsia" w:cs="Times New Roman"/>
        </w:rPr>
        <w:t>W</w:t>
      </w:r>
      <w:r>
        <w:rPr>
          <w:rFonts w:cs="Times New Roman"/>
        </w:rPr>
        <w:t>arrants are non-transferable.</w:t>
      </w:r>
    </w:p>
    <w:p>
      <w:pPr>
        <w:snapToGrid w:val="0"/>
        <w:spacing w:after="240" w:afterLines="100"/>
        <w:rPr>
          <w:rFonts w:cs="Times New Roman"/>
        </w:rPr>
      </w:pPr>
      <w:r>
        <w:rPr>
          <w:rFonts w:cs="Times New Roman"/>
          <w:b/>
          <w:bCs/>
        </w:rPr>
        <w:t>Article 7</w:t>
      </w:r>
      <w:r>
        <w:rPr>
          <w:rFonts w:hint="eastAsia" w:cs="Times New Roman"/>
          <w:b/>
          <w:bCs/>
        </w:rPr>
        <w:t xml:space="preserve"> </w:t>
      </w:r>
      <w:r>
        <w:rPr>
          <w:rFonts w:cs="Times New Roman"/>
          <w:b/>
          <w:bCs/>
        </w:rPr>
        <w:t>[</w:t>
      </w:r>
      <w:r>
        <w:rPr>
          <w:rFonts w:hint="eastAsia" w:cs="Times New Roman"/>
          <w:b/>
          <w:bCs/>
        </w:rPr>
        <w:t>Security</w:t>
      </w:r>
      <w:r>
        <w:rPr>
          <w:rFonts w:cs="Times New Roman"/>
          <w:b/>
          <w:bCs/>
        </w:rPr>
        <w:t xml:space="preserve"> Requirements for Overseas Standard </w:t>
      </w:r>
      <w:r>
        <w:rPr>
          <w:rFonts w:hint="eastAsia" w:cs="Times New Roman"/>
          <w:b/>
          <w:bCs/>
        </w:rPr>
        <w:t>W</w:t>
      </w:r>
      <w:r>
        <w:rPr>
          <w:rFonts w:cs="Times New Roman"/>
          <w:b/>
          <w:bCs/>
        </w:rPr>
        <w:t>arrants]</w:t>
      </w:r>
      <w:r>
        <w:rPr>
          <w:rFonts w:cs="Times New Roman"/>
        </w:rPr>
        <w:t xml:space="preserve"> Before or concurrently with issuing a TSR 20 Overseas Standard </w:t>
      </w:r>
      <w:r>
        <w:rPr>
          <w:rFonts w:hint="eastAsia" w:cs="Times New Roman"/>
        </w:rPr>
        <w:t>W</w:t>
      </w:r>
      <w:r>
        <w:rPr>
          <w:rFonts w:cs="Times New Roman"/>
        </w:rPr>
        <w:t>arrant, the overseas Factory’s Group Delivery Center must deposit with the Exchange a cash margin equivalent to the value of the standard warrant to be issued, or provide a bank performance guarantee letter equivalent to 1.3 times the value of the standard warrant to be issued.</w:t>
      </w:r>
    </w:p>
    <w:p>
      <w:pPr>
        <w:snapToGrid w:val="0"/>
        <w:spacing w:after="240" w:afterLines="100"/>
        <w:rPr>
          <w:rFonts w:cs="Times New Roman"/>
        </w:rPr>
      </w:pPr>
      <w:r>
        <w:rPr>
          <w:rFonts w:cs="Times New Roman"/>
          <w:b/>
          <w:bCs/>
        </w:rPr>
        <w:t>Article 8</w:t>
      </w:r>
      <w:r>
        <w:rPr>
          <w:rFonts w:hint="eastAsia" w:cs="Times New Roman"/>
          <w:b/>
          <w:bCs/>
        </w:rPr>
        <w:t xml:space="preserve"> </w:t>
      </w:r>
      <w:r>
        <w:rPr>
          <w:rFonts w:cs="Times New Roman"/>
          <w:b/>
          <w:bCs/>
        </w:rPr>
        <w:t>[Overseas Delivery Data Collection]</w:t>
      </w:r>
      <w:r>
        <w:rPr>
          <w:rFonts w:cs="Times New Roman"/>
        </w:rPr>
        <w:t xml:space="preserve"> The Exchange collects information related to overseas delivery </w:t>
      </w:r>
      <w:r>
        <w:rPr>
          <w:rFonts w:hint="eastAsia" w:cs="Times New Roman"/>
        </w:rPr>
        <w:t xml:space="preserve">against </w:t>
      </w:r>
      <w:r>
        <w:rPr>
          <w:rFonts w:cs="Times New Roman"/>
        </w:rPr>
        <w:t>TSR 20 futures, including but not limited to the following:</w:t>
      </w:r>
    </w:p>
    <w:p>
      <w:pPr>
        <w:snapToGrid w:val="0"/>
        <w:spacing w:after="240" w:afterLines="100"/>
        <w:rPr>
          <w:rFonts w:cs="Times New Roman"/>
        </w:rPr>
      </w:pPr>
      <w:r>
        <w:rPr>
          <w:rFonts w:cs="Times New Roman"/>
        </w:rPr>
        <w:t xml:space="preserve">(1) The overseas delivery entity, its country of </w:t>
      </w:r>
      <w:r>
        <w:rPr>
          <w:rFonts w:hint="eastAsia" w:cs="Times New Roman"/>
        </w:rPr>
        <w:t>incorporation</w:t>
      </w:r>
      <w:r>
        <w:rPr>
          <w:rFonts w:cs="Times New Roman"/>
        </w:rPr>
        <w:t xml:space="preserve">, Organization Code, settlement account </w:t>
      </w:r>
      <w:r>
        <w:rPr>
          <w:rFonts w:hint="eastAsia" w:cs="Times New Roman"/>
        </w:rPr>
        <w:t xml:space="preserve">opened with a </w:t>
      </w:r>
      <w:r>
        <w:rPr>
          <w:rFonts w:cs="Times New Roman"/>
        </w:rPr>
        <w:t xml:space="preserve">Designated Depository Bank, and the foreign exchange administration branch </w:t>
      </w:r>
      <w:r>
        <w:rPr>
          <w:rFonts w:hint="eastAsia" w:cs="Times New Roman"/>
        </w:rPr>
        <w:t>at its location</w:t>
      </w:r>
      <w:r>
        <w:rPr>
          <w:rFonts w:cs="Times New Roman"/>
        </w:rPr>
        <w:t>;</w:t>
      </w:r>
    </w:p>
    <w:p>
      <w:pPr>
        <w:snapToGrid w:val="0"/>
        <w:spacing w:after="240" w:afterLines="100"/>
        <w:rPr>
          <w:rFonts w:cs="Times New Roman"/>
        </w:rPr>
      </w:pPr>
      <w:r>
        <w:rPr>
          <w:rFonts w:cs="Times New Roman"/>
        </w:rPr>
        <w:t>(2) The quantity, unit price, delivery amount, and settlement time of the overseas delivery;</w:t>
      </w:r>
    </w:p>
    <w:p>
      <w:pPr>
        <w:snapToGrid w:val="0"/>
        <w:spacing w:after="240" w:afterLines="100"/>
        <w:rPr>
          <w:rFonts w:cs="Times New Roman"/>
        </w:rPr>
      </w:pPr>
      <w:r>
        <w:rPr>
          <w:rFonts w:cs="Times New Roman"/>
        </w:rPr>
        <w:t>(3) The country of origin, brand, and loading port/terminal of the TSR 20 used for overseas delivery;</w:t>
      </w:r>
    </w:p>
    <w:p>
      <w:pPr>
        <w:snapToGrid w:val="0"/>
        <w:spacing w:after="240" w:afterLines="100"/>
        <w:rPr>
          <w:rFonts w:cs="Times New Roman"/>
        </w:rPr>
      </w:pPr>
      <w:r>
        <w:rPr>
          <w:rFonts w:cs="Times New Roman"/>
        </w:rPr>
        <w:t>(4) The overseas Factory producing the TSR 20, its country o</w:t>
      </w:r>
      <w:r>
        <w:rPr>
          <w:rFonts w:hint="eastAsia" w:cs="Times New Roman"/>
        </w:rPr>
        <w:t>f incorporation</w:t>
      </w:r>
      <w:r>
        <w:rPr>
          <w:rFonts w:cs="Times New Roman"/>
        </w:rPr>
        <w:t>, and inventory information of the TSR 20.</w:t>
      </w:r>
    </w:p>
    <w:p>
      <w:pPr>
        <w:snapToGrid w:val="0"/>
        <w:spacing w:after="240" w:afterLines="100"/>
        <w:jc w:val="center"/>
        <w:rPr>
          <w:rFonts w:cs="Times New Roman"/>
          <w:b/>
          <w:bCs/>
        </w:rPr>
      </w:pPr>
      <w:r>
        <w:rPr>
          <w:rFonts w:cs="Times New Roman"/>
          <w:b/>
          <w:bCs/>
        </w:rPr>
        <w:t xml:space="preserve">Section </w:t>
      </w:r>
      <w:r>
        <w:rPr>
          <w:rFonts w:hint="eastAsia" w:cs="Times New Roman"/>
          <w:b/>
          <w:bCs/>
        </w:rPr>
        <w:t>2</w:t>
      </w:r>
      <w:r>
        <w:rPr>
          <w:rFonts w:cs="Times New Roman"/>
          <w:b/>
          <w:bCs/>
        </w:rPr>
        <w:tab/>
      </w:r>
      <w:r>
        <w:rPr>
          <w:rFonts w:cs="Times New Roman"/>
          <w:b/>
          <w:bCs/>
        </w:rPr>
        <w:t xml:space="preserve">Settlement </w:t>
      </w:r>
      <w:r>
        <w:rPr>
          <w:rFonts w:hint="eastAsia" w:cs="Times New Roman"/>
          <w:b/>
          <w:bCs/>
        </w:rPr>
        <w:t xml:space="preserve">for </w:t>
      </w:r>
      <w:r>
        <w:rPr>
          <w:rFonts w:cs="Times New Roman"/>
          <w:b/>
          <w:bCs/>
        </w:rPr>
        <w:t xml:space="preserve">Overseas Delivery </w:t>
      </w:r>
    </w:p>
    <w:p>
      <w:pPr>
        <w:snapToGrid w:val="0"/>
        <w:spacing w:after="240" w:afterLines="100"/>
        <w:rPr>
          <w:rFonts w:cs="Times New Roman"/>
        </w:rPr>
      </w:pPr>
      <w:r>
        <w:rPr>
          <w:rFonts w:cs="Times New Roman"/>
          <w:b/>
          <w:bCs/>
        </w:rPr>
        <w:t>Article 9</w:t>
      </w:r>
      <w:r>
        <w:rPr>
          <w:rFonts w:hint="eastAsia" w:cs="Times New Roman"/>
          <w:b/>
          <w:bCs/>
        </w:rPr>
        <w:t xml:space="preserve"> </w:t>
      </w:r>
      <w:r>
        <w:rPr>
          <w:rFonts w:cs="Times New Roman"/>
          <w:b/>
          <w:bCs/>
        </w:rPr>
        <w:t xml:space="preserve">[Pre-Delivery Preparation] </w:t>
      </w:r>
      <w:r>
        <w:rPr>
          <w:rFonts w:cs="Times New Roman"/>
        </w:rPr>
        <w:t xml:space="preserve">Before conducting overseas delivery </w:t>
      </w:r>
      <w:r>
        <w:rPr>
          <w:rFonts w:hint="eastAsia" w:cs="Times New Roman"/>
        </w:rPr>
        <w:t xml:space="preserve">against </w:t>
      </w:r>
      <w:r>
        <w:rPr>
          <w:rFonts w:cs="Times New Roman"/>
        </w:rPr>
        <w:t xml:space="preserve">TSR 20 futures, a domestic trader or Non-FF Member shall submit a Commitment </w:t>
      </w:r>
      <w:r>
        <w:rPr>
          <w:rFonts w:hint="eastAsia" w:cs="Times New Roman"/>
        </w:rPr>
        <w:t xml:space="preserve">Letter </w:t>
      </w:r>
      <w:r>
        <w:rPr>
          <w:rFonts w:cs="Times New Roman"/>
        </w:rPr>
        <w:t>for Overseas Delivery (see A</w:t>
      </w:r>
      <w:r>
        <w:rPr>
          <w:rFonts w:hint="eastAsia" w:cs="Times New Roman"/>
        </w:rPr>
        <w:t xml:space="preserve">nnex </w:t>
      </w:r>
      <w:r>
        <w:rPr>
          <w:rFonts w:cs="Times New Roman"/>
        </w:rPr>
        <w:t>1 for details) to the Exchange.</w:t>
      </w:r>
    </w:p>
    <w:p>
      <w:pPr>
        <w:snapToGrid w:val="0"/>
        <w:spacing w:after="240" w:afterLines="100"/>
        <w:rPr>
          <w:rFonts w:cs="Times New Roman"/>
        </w:rPr>
      </w:pPr>
      <w:r>
        <w:rPr>
          <w:rFonts w:cs="Times New Roman"/>
          <w:b/>
          <w:bCs/>
        </w:rPr>
        <w:t>Article 10</w:t>
      </w:r>
      <w:r>
        <w:rPr>
          <w:rFonts w:hint="eastAsia" w:cs="Times New Roman"/>
          <w:b/>
          <w:bCs/>
        </w:rPr>
        <w:t xml:space="preserve"> </w:t>
      </w:r>
      <w:r>
        <w:rPr>
          <w:rFonts w:cs="Times New Roman"/>
          <w:b/>
          <w:bCs/>
        </w:rPr>
        <w:t xml:space="preserve">[Settlement of Payment </w:t>
      </w:r>
      <w:r>
        <w:rPr>
          <w:rFonts w:hint="eastAsia" w:cs="Times New Roman"/>
          <w:b/>
          <w:bCs/>
        </w:rPr>
        <w:t xml:space="preserve">for </w:t>
      </w:r>
      <w:r>
        <w:rPr>
          <w:rFonts w:cs="Times New Roman"/>
          <w:b/>
          <w:bCs/>
        </w:rPr>
        <w:t>Overseas Delivery]</w:t>
      </w:r>
      <w:r>
        <w:rPr>
          <w:rFonts w:cs="Times New Roman"/>
        </w:rPr>
        <w:t xml:space="preserve"> There are two primary models for overseas delivery </w:t>
      </w:r>
      <w:r>
        <w:rPr>
          <w:rFonts w:hint="eastAsia" w:cs="Times New Roman"/>
        </w:rPr>
        <w:t>against</w:t>
      </w:r>
      <w:r>
        <w:rPr>
          <w:rFonts w:cs="Times New Roman"/>
        </w:rPr>
        <w:t xml:space="preserve"> TSR 20 futures</w:t>
      </w:r>
      <w:r>
        <w:rPr>
          <w:rFonts w:hint="eastAsia" w:cs="Times New Roman"/>
        </w:rPr>
        <w:t xml:space="preserve">. </w:t>
      </w:r>
      <w:r>
        <w:rPr>
          <w:rFonts w:cs="Times New Roman"/>
        </w:rPr>
        <w:t>Model I: The overseas Factory acts as seller; the buyer is an overseas trader or overseas broker.</w:t>
      </w:r>
      <w:r>
        <w:rPr>
          <w:rFonts w:hint="eastAsia" w:cs="Times New Roman"/>
        </w:rPr>
        <w:t xml:space="preserve"> </w:t>
      </w:r>
      <w:r>
        <w:rPr>
          <w:rFonts w:cs="Times New Roman"/>
        </w:rPr>
        <w:t>Model II: The overseas Factory acts as seller; the buyer is a domestic trader or domestic Non-FF Member.</w:t>
      </w:r>
    </w:p>
    <w:p>
      <w:pPr>
        <w:snapToGrid w:val="0"/>
        <w:spacing w:after="240" w:afterLines="100"/>
        <w:rPr>
          <w:rFonts w:cs="Times New Roman"/>
        </w:rPr>
      </w:pPr>
      <w:r>
        <w:rPr>
          <w:rFonts w:cs="Times New Roman"/>
        </w:rPr>
        <w:t xml:space="preserve">The FF Member providing settlement services shall, on the day of payment settlement, make two declarations: first, a declaration for the Netting Settlement; second, a declaration for </w:t>
      </w:r>
      <w:r>
        <w:rPr>
          <w:rFonts w:hint="eastAsia" w:cs="Times New Roman"/>
        </w:rPr>
        <w:t xml:space="preserve">Original </w:t>
      </w:r>
      <w:r>
        <w:rPr>
          <w:rFonts w:cs="Times New Roman"/>
        </w:rPr>
        <w:t xml:space="preserve">Data reflecting the actual transaction. It shall also establish a correspondence between the Netting Settlement </w:t>
      </w:r>
      <w:r>
        <w:rPr>
          <w:rFonts w:hint="eastAsia" w:cs="Times New Roman"/>
        </w:rPr>
        <w:t>D</w:t>
      </w:r>
      <w:r>
        <w:rPr>
          <w:rFonts w:cs="Times New Roman"/>
        </w:rPr>
        <w:t>ata and the Original Data.</w:t>
      </w:r>
    </w:p>
    <w:p>
      <w:pPr>
        <w:snapToGrid w:val="0"/>
        <w:spacing w:after="240" w:afterLines="100"/>
        <w:rPr>
          <w:rFonts w:cs="Times New Roman"/>
        </w:rPr>
      </w:pPr>
      <w:r>
        <w:rPr>
          <w:rFonts w:cs="Times New Roman"/>
        </w:rPr>
        <w:t>(1) Declaration for Netting Settlement</w:t>
      </w:r>
    </w:p>
    <w:p>
      <w:pPr>
        <w:snapToGrid w:val="0"/>
        <w:spacing w:after="240" w:afterLines="100"/>
        <w:rPr>
          <w:rFonts w:cs="Times New Roman"/>
        </w:rPr>
      </w:pPr>
      <w:r>
        <w:rPr>
          <w:rFonts w:cs="Times New Roman"/>
        </w:rPr>
        <w:t xml:space="preserve">On the day the payment </w:t>
      </w:r>
      <w:r>
        <w:rPr>
          <w:rFonts w:hint="eastAsia" w:cs="Times New Roman"/>
        </w:rPr>
        <w:t xml:space="preserve">for </w:t>
      </w:r>
      <w:r>
        <w:rPr>
          <w:rFonts w:cs="Times New Roman"/>
        </w:rPr>
        <w:t xml:space="preserve">overseas delivery is settled, the FF Member shall declare a virtual overseas payment with a zero settlement amount by completing the Application for Overseas Remittance. Both the “Payee Name” and “Payer Name” shall be </w:t>
      </w:r>
      <w:r>
        <w:rPr>
          <w:rFonts w:hint="eastAsia" w:cs="Times New Roman"/>
        </w:rPr>
        <w:t xml:space="preserve">the </w:t>
      </w:r>
      <w:r>
        <w:rPr>
          <w:rFonts w:cs="Times New Roman"/>
        </w:rPr>
        <w:t>“</w:t>
      </w:r>
      <w:r>
        <w:rPr>
          <w:rFonts w:hint="eastAsia" w:cs="Times New Roman"/>
        </w:rPr>
        <w:t>FF Member</w:t>
      </w:r>
      <w:r>
        <w:rPr>
          <w:rFonts w:cs="Times New Roman"/>
        </w:rPr>
        <w:t>”</w:t>
      </w:r>
      <w:r>
        <w:rPr>
          <w:rFonts w:hint="eastAsia" w:cs="Times New Roman"/>
        </w:rPr>
        <w:t xml:space="preserve"> itself</w:t>
      </w:r>
      <w:r>
        <w:rPr>
          <w:rFonts w:cs="Times New Roman"/>
        </w:rPr>
        <w:t>. The transaction code shall be “999998 – Netting Settlement without Actual Fund Movement.” The “Country (Region) of Residence of Payee/Payer” shall be “China.” Other mandatory fields may be completed as applicable or filled with “N/A” (uppercase English characters in half-width format).</w:t>
      </w:r>
    </w:p>
    <w:p>
      <w:pPr>
        <w:snapToGrid w:val="0"/>
        <w:spacing w:after="240" w:afterLines="100"/>
        <w:rPr>
          <w:rFonts w:cs="Times New Roman"/>
        </w:rPr>
      </w:pPr>
      <w:r>
        <w:rPr>
          <w:rFonts w:cs="Times New Roman"/>
        </w:rPr>
        <w:t xml:space="preserve">The Designated Depository Bank shall complete the reporting of this virtual payment data by 12:00 noon on the first business day (T+1) following the </w:t>
      </w:r>
      <w:r>
        <w:rPr>
          <w:rFonts w:hint="eastAsia" w:cs="Times New Roman"/>
        </w:rPr>
        <w:t>n</w:t>
      </w:r>
      <w:r>
        <w:rPr>
          <w:rFonts w:cs="Times New Roman"/>
        </w:rPr>
        <w:t xml:space="preserve">etting </w:t>
      </w:r>
      <w:r>
        <w:rPr>
          <w:rFonts w:hint="eastAsia" w:cs="Times New Roman"/>
        </w:rPr>
        <w:t>s</w:t>
      </w:r>
      <w:r>
        <w:rPr>
          <w:rFonts w:cs="Times New Roman"/>
        </w:rPr>
        <w:t>ettlement day (T).</w:t>
      </w:r>
    </w:p>
    <w:p>
      <w:pPr>
        <w:snapToGrid w:val="0"/>
        <w:spacing w:after="240" w:afterLines="100"/>
        <w:rPr>
          <w:rFonts w:cs="Times New Roman"/>
        </w:rPr>
      </w:pPr>
      <w:r>
        <w:rPr>
          <w:rFonts w:cs="Times New Roman"/>
        </w:rPr>
        <w:t>(2) Declaration of Original Data</w:t>
      </w:r>
    </w:p>
    <w:p>
      <w:pPr>
        <w:snapToGrid w:val="0"/>
        <w:spacing w:after="240" w:afterLines="100"/>
        <w:rPr>
          <w:rFonts w:cs="Times New Roman"/>
        </w:rPr>
      </w:pPr>
      <w:r>
        <w:rPr>
          <w:rFonts w:cs="Times New Roman"/>
        </w:rPr>
        <w:t xml:space="preserve">For the declaration of Original Data, following the principle of </w:t>
      </w:r>
      <w:r>
        <w:rPr>
          <w:rFonts w:hint="eastAsia" w:cs="Times New Roman"/>
        </w:rPr>
        <w:t>F</w:t>
      </w:r>
      <w:r>
        <w:rPr>
          <w:rFonts w:cs="Times New Roman"/>
        </w:rPr>
        <w:t xml:space="preserve">ull </w:t>
      </w:r>
      <w:r>
        <w:rPr>
          <w:rFonts w:hint="eastAsia" w:cs="Times New Roman"/>
        </w:rPr>
        <w:t>R</w:t>
      </w:r>
      <w:r>
        <w:rPr>
          <w:rFonts w:cs="Times New Roman"/>
        </w:rPr>
        <w:t xml:space="preserve">eceipt and </w:t>
      </w:r>
      <w:r>
        <w:rPr>
          <w:rFonts w:hint="eastAsia" w:cs="Times New Roman"/>
        </w:rPr>
        <w:t>F</w:t>
      </w:r>
      <w:r>
        <w:rPr>
          <w:rFonts w:cs="Times New Roman"/>
        </w:rPr>
        <w:t xml:space="preserve">ull </w:t>
      </w:r>
      <w:r>
        <w:rPr>
          <w:rFonts w:hint="eastAsia" w:cs="Times New Roman"/>
        </w:rPr>
        <w:t>P</w:t>
      </w:r>
      <w:r>
        <w:rPr>
          <w:rFonts w:cs="Times New Roman"/>
        </w:rPr>
        <w:t xml:space="preserve">ayment, the FF Member shall provide, in its own name, the </w:t>
      </w:r>
      <w:r>
        <w:rPr>
          <w:rFonts w:hint="eastAsia" w:cs="Times New Roman"/>
        </w:rPr>
        <w:t xml:space="preserve">underlying </w:t>
      </w:r>
      <w:r>
        <w:rPr>
          <w:rFonts w:cs="Times New Roman"/>
        </w:rPr>
        <w:t xml:space="preserve">information and declared information of the Original Data to the Designated Depository Bank, ensuring it includes at least the information </w:t>
      </w:r>
      <w:r>
        <w:rPr>
          <w:rFonts w:hint="eastAsia" w:cs="Times New Roman"/>
        </w:rPr>
        <w:t xml:space="preserve">necessary </w:t>
      </w:r>
      <w:r>
        <w:rPr>
          <w:rFonts w:cs="Times New Roman"/>
        </w:rPr>
        <w:t>for overseas receipt/payment declarations.</w:t>
      </w:r>
    </w:p>
    <w:p>
      <w:pPr>
        <w:snapToGrid w:val="0"/>
        <w:spacing w:after="240" w:afterLines="100"/>
        <w:rPr>
          <w:rFonts w:cs="Times New Roman"/>
        </w:rPr>
      </w:pPr>
      <w:r>
        <w:rPr>
          <w:rFonts w:hint="eastAsia" w:cs="Times New Roman"/>
        </w:rPr>
        <w:t>O</w:t>
      </w:r>
      <w:r>
        <w:rPr>
          <w:rFonts w:cs="Times New Roman"/>
        </w:rPr>
        <w:t>n the day the payment settlement is completed, the FF Member providing settlement services for</w:t>
      </w:r>
      <w:r>
        <w:rPr>
          <w:rFonts w:hint="eastAsia" w:cs="Times New Roman"/>
        </w:rPr>
        <w:t xml:space="preserve"> </w:t>
      </w:r>
      <w:r>
        <w:rPr>
          <w:rFonts w:cs="Times New Roman"/>
        </w:rPr>
        <w:t>an overseas Factory act</w:t>
      </w:r>
      <w:r>
        <w:rPr>
          <w:rFonts w:hint="eastAsia" w:cs="Times New Roman"/>
        </w:rPr>
        <w:t>ing</w:t>
      </w:r>
      <w:r>
        <w:rPr>
          <w:rFonts w:cs="Times New Roman"/>
        </w:rPr>
        <w:t xml:space="preserve"> as the seller</w:t>
      </w:r>
      <w:r>
        <w:rPr>
          <w:rFonts w:hint="eastAsia" w:cs="Times New Roman"/>
        </w:rPr>
        <w:t xml:space="preserve">, </w:t>
      </w:r>
      <w:r>
        <w:rPr>
          <w:rFonts w:cs="Times New Roman"/>
        </w:rPr>
        <w:t xml:space="preserve">shall simultaneously declare one capital </w:t>
      </w:r>
      <w:r>
        <w:rPr>
          <w:rFonts w:hint="eastAsia" w:cs="Times New Roman"/>
        </w:rPr>
        <w:t>inflow</w:t>
      </w:r>
      <w:r>
        <w:rPr>
          <w:rFonts w:cs="Times New Roman"/>
        </w:rPr>
        <w:t xml:space="preserve"> (transaction code: “724000 - Income from Financial Derivative Transactions”) and one </w:t>
      </w:r>
      <w:r>
        <w:rPr>
          <w:rFonts w:hint="eastAsia" w:cs="Times New Roman"/>
        </w:rPr>
        <w:t xml:space="preserve">trade in goods </w:t>
      </w:r>
      <w:r>
        <w:rPr>
          <w:rFonts w:cs="Times New Roman"/>
        </w:rPr>
        <w:t>out</w:t>
      </w:r>
      <w:r>
        <w:rPr>
          <w:rFonts w:hint="eastAsia" w:cs="Times New Roman"/>
        </w:rPr>
        <w:t xml:space="preserve">flow </w:t>
      </w:r>
      <w:r>
        <w:rPr>
          <w:rFonts w:cs="Times New Roman"/>
        </w:rPr>
        <w:t xml:space="preserve">(transaction code: “122990 - Other Trade in Goods Not </w:t>
      </w:r>
      <w:r>
        <w:rPr>
          <w:rFonts w:hint="eastAsia" w:cs="Times New Roman"/>
        </w:rPr>
        <w:t>Accounted for</w:t>
      </w:r>
      <w:r>
        <w:rPr>
          <w:rFonts w:cs="Times New Roman"/>
        </w:rPr>
        <w:t xml:space="preserve"> in Customs Statistics”). The amounts of both the inward and outward transfers shall be equal to the total payment amount of the corresponding overseas delivery. The transaction remarks shall specify “TSR 20 Futures </w:t>
      </w:r>
      <w:r>
        <w:rPr>
          <w:rFonts w:hint="eastAsia" w:cs="Times New Roman"/>
        </w:rPr>
        <w:t>Cross-border</w:t>
      </w:r>
      <w:r>
        <w:rPr>
          <w:rFonts w:cs="Times New Roman"/>
        </w:rPr>
        <w:t xml:space="preserve"> Delivery.” The FF Member </w:t>
      </w:r>
      <w:r>
        <w:rPr>
          <w:rFonts w:hint="eastAsia" w:cs="Times New Roman"/>
        </w:rPr>
        <w:t>is</w:t>
      </w:r>
      <w:r>
        <w:rPr>
          <w:rFonts w:cs="Times New Roman"/>
        </w:rPr>
        <w:t xml:space="preserve"> not</w:t>
      </w:r>
      <w:r>
        <w:rPr>
          <w:rFonts w:hint="eastAsia" w:cs="Times New Roman"/>
        </w:rPr>
        <w:t xml:space="preserve"> required to</w:t>
      </w:r>
      <w:r>
        <w:rPr>
          <w:rFonts w:cs="Times New Roman"/>
        </w:rPr>
        <w:t xml:space="preserve"> perform the actual fund transfer.</w:t>
      </w:r>
    </w:p>
    <w:p>
      <w:pPr>
        <w:snapToGrid w:val="0"/>
        <w:spacing w:after="240" w:afterLines="100"/>
        <w:rPr>
          <w:rFonts w:cs="Times New Roman"/>
        </w:rPr>
      </w:pPr>
      <w:r>
        <w:rPr>
          <w:rFonts w:cs="Times New Roman"/>
        </w:rPr>
        <w:t>Whe</w:t>
      </w:r>
      <w:r>
        <w:rPr>
          <w:rFonts w:hint="eastAsia" w:cs="Times New Roman"/>
        </w:rPr>
        <w:t>re</w:t>
      </w:r>
      <w:r>
        <w:rPr>
          <w:rFonts w:cs="Times New Roman"/>
        </w:rPr>
        <w:t xml:space="preserve"> the buyer</w:t>
      </w:r>
      <w:r>
        <w:rPr>
          <w:rFonts w:hint="eastAsia" w:cs="Times New Roman"/>
        </w:rPr>
        <w:t xml:space="preserve"> is</w:t>
      </w:r>
      <w:r>
        <w:rPr>
          <w:rFonts w:cs="Times New Roman"/>
        </w:rPr>
        <w:t xml:space="preserve"> an overseas trader or overseas broker, on the day the payment settlement is completed, the FF Member providing settlement services for it shall simultaneously declare one outward capital transfer (transaction code: “724000 - Expenditure from Financial Derivative Transactions”) and one inward trade in goods transfer (transaction code: “122990 - Other Trade in Goods Not </w:t>
      </w:r>
      <w:r>
        <w:rPr>
          <w:rFonts w:hint="eastAsia" w:cs="Times New Roman"/>
        </w:rPr>
        <w:t>Accounted for</w:t>
      </w:r>
      <w:r>
        <w:rPr>
          <w:rFonts w:cs="Times New Roman"/>
        </w:rPr>
        <w:t xml:space="preserve"> in Customs Statistics”). The amounts of both the outward and inward transfers shall be equal to the total payment amount of the corresponding overseas delivery. The transaction remarks shall </w:t>
      </w:r>
      <w:r>
        <w:rPr>
          <w:rFonts w:hint="eastAsia" w:cs="Times New Roman"/>
        </w:rPr>
        <w:t>specify</w:t>
      </w:r>
      <w:r>
        <w:rPr>
          <w:rFonts w:cs="Times New Roman"/>
        </w:rPr>
        <w:t xml:space="preserve"> “TSR 20 Futures </w:t>
      </w:r>
      <w:r>
        <w:rPr>
          <w:rFonts w:hint="eastAsia" w:cs="Times New Roman"/>
        </w:rPr>
        <w:t>Cross-border</w:t>
      </w:r>
      <w:r>
        <w:rPr>
          <w:rFonts w:cs="Times New Roman"/>
        </w:rPr>
        <w:t xml:space="preserve"> Delivery.” The FF Member </w:t>
      </w:r>
      <w:r>
        <w:rPr>
          <w:rFonts w:hint="eastAsia" w:cs="Times New Roman"/>
        </w:rPr>
        <w:t>is</w:t>
      </w:r>
      <w:r>
        <w:rPr>
          <w:rFonts w:cs="Times New Roman"/>
        </w:rPr>
        <w:t xml:space="preserve"> not</w:t>
      </w:r>
      <w:r>
        <w:rPr>
          <w:rFonts w:hint="eastAsia" w:cs="Times New Roman"/>
        </w:rPr>
        <w:t xml:space="preserve"> required to</w:t>
      </w:r>
      <w:r>
        <w:rPr>
          <w:rFonts w:cs="Times New Roman"/>
        </w:rPr>
        <w:t xml:space="preserve"> perform the actual fund transfer.</w:t>
      </w:r>
    </w:p>
    <w:p>
      <w:pPr>
        <w:snapToGrid w:val="0"/>
        <w:spacing w:after="240" w:afterLines="100"/>
        <w:rPr>
          <w:rFonts w:cs="Times New Roman"/>
        </w:rPr>
      </w:pPr>
      <w:r>
        <w:rPr>
          <w:rFonts w:cs="Times New Roman"/>
        </w:rPr>
        <w:t xml:space="preserve">The Designated Depository Bank shall generate the declaration number for the Original Data based on the Netting Settlement date. It shall also enter the declaration number of the corresponding Netting Settlement transaction mentioned in the preceding paragraph into the “Bank Business Number” field of the Original Data, in order to establish the correspondence between the Netting Settlement </w:t>
      </w:r>
      <w:r>
        <w:rPr>
          <w:rFonts w:hint="eastAsia" w:cs="Times New Roman"/>
        </w:rPr>
        <w:t>D</w:t>
      </w:r>
      <w:r>
        <w:rPr>
          <w:rFonts w:cs="Times New Roman"/>
        </w:rPr>
        <w:t xml:space="preserve">ata and the Original Data. The Designated Depository Bank shall complete the reporting of the </w:t>
      </w:r>
      <w:r>
        <w:rPr>
          <w:rFonts w:hint="eastAsia" w:cs="Times New Roman"/>
        </w:rPr>
        <w:t xml:space="preserve">underlying </w:t>
      </w:r>
      <w:r>
        <w:rPr>
          <w:rFonts w:cs="Times New Roman"/>
        </w:rPr>
        <w:t>information of the Original Data by 12:00 noon on the first business day (T+1) following the Netting Settlement day (T), and shall complete the reporting of the declared information of the Original Data by the fifth business day (T+5).</w:t>
      </w:r>
    </w:p>
    <w:p>
      <w:pPr>
        <w:snapToGrid w:val="0"/>
        <w:spacing w:after="240" w:afterLines="100"/>
        <w:jc w:val="center"/>
        <w:rPr>
          <w:rFonts w:cs="Times New Roman"/>
          <w:b/>
          <w:bCs/>
        </w:rPr>
      </w:pPr>
      <w:r>
        <w:rPr>
          <w:rFonts w:cs="Times New Roman"/>
          <w:b/>
          <w:bCs/>
        </w:rPr>
        <w:t xml:space="preserve">Section </w:t>
      </w:r>
      <w:r>
        <w:rPr>
          <w:rFonts w:hint="eastAsia" w:cs="Times New Roman"/>
          <w:b/>
          <w:bCs/>
        </w:rPr>
        <w:t>3</w:t>
      </w:r>
      <w:r>
        <w:rPr>
          <w:rFonts w:cs="Times New Roman"/>
          <w:b/>
          <w:bCs/>
        </w:rPr>
        <w:tab/>
      </w:r>
      <w:r>
        <w:rPr>
          <w:rFonts w:cs="Times New Roman"/>
          <w:b/>
          <w:bCs/>
        </w:rPr>
        <w:t>Load-out</w:t>
      </w:r>
    </w:p>
    <w:p>
      <w:pPr>
        <w:snapToGrid w:val="0"/>
        <w:spacing w:after="240" w:afterLines="100"/>
        <w:rPr>
          <w:rFonts w:cs="Times New Roman"/>
        </w:rPr>
      </w:pPr>
      <w:r>
        <w:rPr>
          <w:rFonts w:cs="Times New Roman"/>
          <w:b/>
          <w:bCs/>
        </w:rPr>
        <w:t>Article 11</w:t>
      </w:r>
      <w:r>
        <w:rPr>
          <w:rFonts w:hint="eastAsia" w:cs="Times New Roman"/>
          <w:b/>
          <w:bCs/>
        </w:rPr>
        <w:t xml:space="preserve"> </w:t>
      </w:r>
      <w:r>
        <w:rPr>
          <w:rFonts w:cs="Times New Roman"/>
          <w:b/>
          <w:bCs/>
        </w:rPr>
        <w:t xml:space="preserve">[Application for Load-out] </w:t>
      </w:r>
      <w:r>
        <w:rPr>
          <w:rFonts w:cs="Times New Roman"/>
        </w:rPr>
        <w:t xml:space="preserve">An overseas trader, domestic trader, or Non-FF Member shall apply for load-out for TSR 20 futures to the overseas Factory through the Exchange’s Standard </w:t>
      </w:r>
      <w:r>
        <w:rPr>
          <w:rFonts w:hint="eastAsia" w:cs="Times New Roman"/>
        </w:rPr>
        <w:t>W</w:t>
      </w:r>
      <w:r>
        <w:rPr>
          <w:rFonts w:cs="Times New Roman"/>
        </w:rPr>
        <w:t>arrant Management System. The load-out shall be handled by the overseas Factory.</w:t>
      </w:r>
    </w:p>
    <w:p>
      <w:pPr>
        <w:snapToGrid w:val="0"/>
        <w:spacing w:after="240" w:afterLines="100"/>
        <w:rPr>
          <w:rFonts w:cs="Times New Roman"/>
        </w:rPr>
      </w:pPr>
      <w:r>
        <w:rPr>
          <w:rFonts w:cs="Times New Roman"/>
          <w:b/>
          <w:bCs/>
        </w:rPr>
        <w:t>Article 12</w:t>
      </w:r>
      <w:r>
        <w:rPr>
          <w:rFonts w:hint="eastAsia" w:cs="Times New Roman"/>
          <w:b/>
          <w:bCs/>
        </w:rPr>
        <w:t xml:space="preserve"> </w:t>
      </w:r>
      <w:r>
        <w:rPr>
          <w:rFonts w:cs="Times New Roman"/>
          <w:b/>
          <w:bCs/>
        </w:rPr>
        <w:t xml:space="preserve">[Destination After Load-out] </w:t>
      </w:r>
      <w:r>
        <w:rPr>
          <w:rFonts w:cs="Times New Roman"/>
        </w:rPr>
        <w:t xml:space="preserve">Where an overseas trader, domestic trader, or Non-FF Member applies for load-out of the offshore goods </w:t>
      </w:r>
      <w:r>
        <w:rPr>
          <w:rFonts w:hint="eastAsia" w:cs="Times New Roman"/>
        </w:rPr>
        <w:t xml:space="preserve">under </w:t>
      </w:r>
      <w:r>
        <w:rPr>
          <w:rFonts w:cs="Times New Roman"/>
        </w:rPr>
        <w:t xml:space="preserve">a TSR 20 Overseas Standard </w:t>
      </w:r>
      <w:r>
        <w:rPr>
          <w:rFonts w:hint="eastAsia" w:cs="Times New Roman"/>
        </w:rPr>
        <w:t>W</w:t>
      </w:r>
      <w:r>
        <w:rPr>
          <w:rFonts w:cs="Times New Roman"/>
        </w:rPr>
        <w:t>arrant, the destinations of the corresponding offshore goods include:</w:t>
      </w:r>
    </w:p>
    <w:p>
      <w:pPr>
        <w:snapToGrid w:val="0"/>
        <w:spacing w:after="240" w:afterLines="100"/>
        <w:rPr>
          <w:rFonts w:cs="Times New Roman"/>
        </w:rPr>
      </w:pPr>
      <w:r>
        <w:rPr>
          <w:rFonts w:cs="Times New Roman"/>
        </w:rPr>
        <w:t>(1) The overseas trader tak</w:t>
      </w:r>
      <w:r>
        <w:rPr>
          <w:rFonts w:hint="eastAsia" w:cs="Times New Roman"/>
        </w:rPr>
        <w:t>es</w:t>
      </w:r>
      <w:r>
        <w:rPr>
          <w:rFonts w:cs="Times New Roman"/>
        </w:rPr>
        <w:t xml:space="preserve"> delivery itself or sell</w:t>
      </w:r>
      <w:r>
        <w:rPr>
          <w:rFonts w:hint="eastAsia" w:cs="Times New Roman"/>
        </w:rPr>
        <w:t>s</w:t>
      </w:r>
      <w:r>
        <w:rPr>
          <w:rFonts w:cs="Times New Roman"/>
        </w:rPr>
        <w:t xml:space="preserve"> the offshore goods to an overseas entity;</w:t>
      </w:r>
    </w:p>
    <w:p>
      <w:pPr>
        <w:snapToGrid w:val="0"/>
        <w:spacing w:after="240" w:afterLines="100"/>
        <w:rPr>
          <w:rFonts w:cs="Times New Roman"/>
        </w:rPr>
      </w:pPr>
      <w:r>
        <w:rPr>
          <w:rFonts w:cs="Times New Roman"/>
        </w:rPr>
        <w:t>(2) The overseas trader sell</w:t>
      </w:r>
      <w:r>
        <w:rPr>
          <w:rFonts w:hint="eastAsia" w:cs="Times New Roman"/>
        </w:rPr>
        <w:t>s</w:t>
      </w:r>
      <w:r>
        <w:rPr>
          <w:rFonts w:cs="Times New Roman"/>
        </w:rPr>
        <w:t xml:space="preserve"> the offshore goods to a domestic entity;</w:t>
      </w:r>
    </w:p>
    <w:p>
      <w:pPr>
        <w:snapToGrid w:val="0"/>
        <w:spacing w:after="240" w:afterLines="100"/>
        <w:rPr>
          <w:rFonts w:cs="Times New Roman"/>
        </w:rPr>
      </w:pPr>
      <w:r>
        <w:rPr>
          <w:rFonts w:cs="Times New Roman"/>
        </w:rPr>
        <w:t>(3) The domestic trader or Non-FF Member directly import</w:t>
      </w:r>
      <w:r>
        <w:rPr>
          <w:rFonts w:hint="eastAsia" w:cs="Times New Roman"/>
        </w:rPr>
        <w:t xml:space="preserve">s </w:t>
      </w:r>
      <w:r>
        <w:rPr>
          <w:rFonts w:cs="Times New Roman"/>
        </w:rPr>
        <w:t>the offshore goods into China</w:t>
      </w:r>
      <w:r>
        <w:rPr>
          <w:rFonts w:hint="eastAsia" w:cs="Times New Roman"/>
        </w:rPr>
        <w:t xml:space="preserve"> </w:t>
      </w:r>
      <w:r>
        <w:rPr>
          <w:rFonts w:cs="Times New Roman"/>
        </w:rPr>
        <w:t>(</w:t>
      </w:r>
      <w:r>
        <w:rPr>
          <w:rFonts w:hint="eastAsia" w:cs="Times New Roman"/>
        </w:rPr>
        <w:t>border entry</w:t>
      </w:r>
      <w:r>
        <w:rPr>
          <w:rFonts w:cs="Times New Roman"/>
        </w:rPr>
        <w:t>);</w:t>
      </w:r>
    </w:p>
    <w:p>
      <w:pPr>
        <w:snapToGrid w:val="0"/>
        <w:spacing w:after="240" w:afterLines="100"/>
        <w:rPr>
          <w:rFonts w:cs="Times New Roman"/>
        </w:rPr>
      </w:pPr>
      <w:r>
        <w:rPr>
          <w:rFonts w:cs="Times New Roman"/>
        </w:rPr>
        <w:t>(4) The domestic trader or Non-FF Member sell</w:t>
      </w:r>
      <w:r>
        <w:rPr>
          <w:rFonts w:hint="eastAsia" w:cs="Times New Roman"/>
        </w:rPr>
        <w:t>s</w:t>
      </w:r>
      <w:r>
        <w:rPr>
          <w:rFonts w:cs="Times New Roman"/>
        </w:rPr>
        <w:t xml:space="preserve"> the offshore goods to an overseas entity;</w:t>
      </w:r>
      <w:r>
        <w:rPr>
          <w:rFonts w:hint="eastAsia" w:cs="Times New Roman"/>
        </w:rPr>
        <w:t xml:space="preserve"> and</w:t>
      </w:r>
    </w:p>
    <w:p>
      <w:pPr>
        <w:snapToGrid w:val="0"/>
        <w:spacing w:after="240" w:afterLines="100"/>
        <w:rPr>
          <w:rFonts w:cs="Times New Roman"/>
        </w:rPr>
      </w:pPr>
      <w:r>
        <w:rPr>
          <w:rFonts w:cs="Times New Roman"/>
        </w:rPr>
        <w:t>(5) The domestic trader or Non-FF Member sell</w:t>
      </w:r>
      <w:r>
        <w:rPr>
          <w:rFonts w:hint="eastAsia" w:cs="Times New Roman"/>
        </w:rPr>
        <w:t>s</w:t>
      </w:r>
      <w:r>
        <w:rPr>
          <w:rFonts w:cs="Times New Roman"/>
        </w:rPr>
        <w:t xml:space="preserve"> the offshore goods to another domestic entity.</w:t>
      </w:r>
    </w:p>
    <w:p>
      <w:pPr>
        <w:snapToGrid w:val="0"/>
        <w:spacing w:after="240" w:afterLines="100"/>
        <w:rPr>
          <w:rFonts w:cs="Times New Roman"/>
        </w:rPr>
      </w:pPr>
      <w:r>
        <w:rPr>
          <w:rFonts w:hint="eastAsia" w:cs="Times New Roman"/>
          <w:b/>
          <w:bCs/>
        </w:rPr>
        <w:t xml:space="preserve">Article 13 [Requirements for Domestic Traders </w:t>
      </w:r>
      <w:r>
        <w:rPr>
          <w:rFonts w:cs="Times New Roman"/>
          <w:b/>
          <w:bCs/>
        </w:rPr>
        <w:t>and</w:t>
      </w:r>
      <w:r>
        <w:rPr>
          <w:rFonts w:hint="eastAsia" w:cs="Times New Roman"/>
          <w:b/>
          <w:bCs/>
        </w:rPr>
        <w:t xml:space="preserve"> Non-FF Members on </w:t>
      </w:r>
      <w:r>
        <w:rPr>
          <w:rFonts w:cs="Times New Roman"/>
          <w:b/>
          <w:bCs/>
        </w:rPr>
        <w:t xml:space="preserve">the </w:t>
      </w:r>
      <w:r>
        <w:rPr>
          <w:rFonts w:hint="eastAsia" w:cs="Times New Roman"/>
          <w:b/>
          <w:bCs/>
        </w:rPr>
        <w:t xml:space="preserve">Import </w:t>
      </w:r>
      <w:r>
        <w:rPr>
          <w:rFonts w:cs="Times New Roman"/>
          <w:b/>
          <w:bCs/>
        </w:rPr>
        <w:t xml:space="preserve">(Border Entry) of </w:t>
      </w:r>
      <w:r>
        <w:rPr>
          <w:rFonts w:hint="eastAsia" w:cs="Times New Roman"/>
          <w:b/>
          <w:bCs/>
        </w:rPr>
        <w:t xml:space="preserve">Goods] </w:t>
      </w:r>
      <w:r>
        <w:rPr>
          <w:rFonts w:hint="eastAsia" w:cs="Times New Roman"/>
        </w:rPr>
        <w:t xml:space="preserve">Domestic traders and </w:t>
      </w:r>
      <w:r>
        <w:rPr>
          <w:rFonts w:cs="Times New Roman"/>
        </w:rPr>
        <w:t>N</w:t>
      </w:r>
      <w:r>
        <w:rPr>
          <w:rFonts w:hint="eastAsia" w:cs="Times New Roman"/>
        </w:rPr>
        <w:t xml:space="preserve">on-FF </w:t>
      </w:r>
      <w:r>
        <w:rPr>
          <w:rFonts w:cs="Times New Roman"/>
        </w:rPr>
        <w:t>M</w:t>
      </w:r>
      <w:r>
        <w:rPr>
          <w:rFonts w:hint="eastAsia" w:cs="Times New Roman"/>
        </w:rPr>
        <w:t xml:space="preserve">embers who, </w:t>
      </w:r>
      <w:r>
        <w:rPr>
          <w:rFonts w:cs="Times New Roman"/>
        </w:rPr>
        <w:t>following</w:t>
      </w:r>
      <w:r>
        <w:rPr>
          <w:rFonts w:hint="eastAsia" w:cs="Times New Roman"/>
        </w:rPr>
        <w:t xml:space="preserve"> </w:t>
      </w:r>
      <w:r>
        <w:rPr>
          <w:rFonts w:cs="Times New Roman"/>
        </w:rPr>
        <w:t xml:space="preserve">an </w:t>
      </w:r>
      <w:r>
        <w:rPr>
          <w:rFonts w:hint="eastAsia" w:cs="Times New Roman"/>
        </w:rPr>
        <w:t xml:space="preserve">overseas delivery against TSR 20 futures, import the offshore goods into China </w:t>
      </w:r>
      <w:r>
        <w:rPr>
          <w:rFonts w:cs="Times New Roman"/>
        </w:rPr>
        <w:t xml:space="preserve">or complete border entry for them </w:t>
      </w:r>
      <w:r>
        <w:rPr>
          <w:rFonts w:hint="eastAsia" w:cs="Times New Roman"/>
        </w:rPr>
        <w:t xml:space="preserve">shall, upon completing </w:t>
      </w:r>
      <w:r>
        <w:rPr>
          <w:rFonts w:cs="Times New Roman"/>
        </w:rPr>
        <w:t xml:space="preserve">the </w:t>
      </w:r>
      <w:r>
        <w:rPr>
          <w:rFonts w:hint="eastAsia" w:cs="Times New Roman"/>
        </w:rPr>
        <w:t xml:space="preserve">customs declaration procedures </w:t>
      </w:r>
      <w:r>
        <w:rPr>
          <w:rFonts w:cs="Times New Roman"/>
        </w:rPr>
        <w:t xml:space="preserve">for </w:t>
      </w:r>
      <w:r>
        <w:rPr>
          <w:rFonts w:hint="eastAsia" w:cs="Times New Roman"/>
        </w:rPr>
        <w:t>import or</w:t>
      </w:r>
      <w:r>
        <w:rPr>
          <w:rFonts w:cs="Times New Roman"/>
        </w:rPr>
        <w:t xml:space="preserve"> border entry</w:t>
      </w:r>
      <w:r>
        <w:rPr>
          <w:rFonts w:hint="eastAsia" w:cs="Times New Roman"/>
        </w:rPr>
        <w:t xml:space="preserve">, make a domestic payment declaration for the RMB payment made to the FF </w:t>
      </w:r>
      <w:r>
        <w:rPr>
          <w:rFonts w:cs="Times New Roman"/>
        </w:rPr>
        <w:t>M</w:t>
      </w:r>
      <w:r>
        <w:rPr>
          <w:rFonts w:hint="eastAsia" w:cs="Times New Roman"/>
        </w:rPr>
        <w:t xml:space="preserve">ember for the physical delivery. This declaration shall be made based on the actual status of the RMB payment, following confirmation between the domestic trader and the FF </w:t>
      </w:r>
      <w:r>
        <w:rPr>
          <w:rFonts w:cs="Times New Roman"/>
        </w:rPr>
        <w:t>M</w:t>
      </w:r>
      <w:r>
        <w:rPr>
          <w:rFonts w:hint="eastAsia" w:cs="Times New Roman"/>
        </w:rPr>
        <w:t xml:space="preserve">ember, or between the </w:t>
      </w:r>
      <w:r>
        <w:rPr>
          <w:rFonts w:cs="Times New Roman"/>
        </w:rPr>
        <w:t>N</w:t>
      </w:r>
      <w:r>
        <w:rPr>
          <w:rFonts w:hint="eastAsia" w:cs="Times New Roman"/>
        </w:rPr>
        <w:t xml:space="preserve">on-FF </w:t>
      </w:r>
      <w:r>
        <w:rPr>
          <w:rFonts w:cs="Times New Roman"/>
        </w:rPr>
        <w:t>M</w:t>
      </w:r>
      <w:r>
        <w:rPr>
          <w:rFonts w:hint="eastAsia" w:cs="Times New Roman"/>
        </w:rPr>
        <w:t>ember</w:t>
      </w:r>
      <w:r>
        <w:rPr>
          <w:rFonts w:cs="Times New Roman"/>
        </w:rPr>
        <w:t xml:space="preserve"> </w:t>
      </w:r>
      <w:r>
        <w:rPr>
          <w:rFonts w:hint="eastAsia" w:cs="Times New Roman"/>
        </w:rPr>
        <w:t>and the Exchange. The Designated Depository Bank shall first confirm the payer's classification in the Enterprises Directory for Trade-Related Foreign Exchange Receipts and Payments, and then review the following documents:</w:t>
      </w:r>
    </w:p>
    <w:p>
      <w:pPr>
        <w:snapToGrid w:val="0"/>
        <w:spacing w:after="240" w:afterLines="100"/>
        <w:rPr>
          <w:rFonts w:cs="Times New Roman"/>
        </w:rPr>
      </w:pPr>
      <w:r>
        <w:rPr>
          <w:rFonts w:hint="eastAsia" w:cs="Times New Roman"/>
        </w:rPr>
        <w:t>(1) The overseas delivery settlement statement for TSR 20 futures issued by the Exchange;</w:t>
      </w:r>
    </w:p>
    <w:p>
      <w:pPr>
        <w:snapToGrid w:val="0"/>
        <w:spacing w:after="240" w:afterLines="100"/>
        <w:rPr>
          <w:rFonts w:cs="Times New Roman"/>
        </w:rPr>
      </w:pPr>
      <w:r>
        <w:rPr>
          <w:rFonts w:hint="eastAsia" w:cs="Times New Roman"/>
        </w:rPr>
        <w:t>(2) The list of corresponding overseas standard warrants for TSR 20;</w:t>
      </w:r>
    </w:p>
    <w:p>
      <w:pPr>
        <w:snapToGrid w:val="0"/>
        <w:spacing w:after="240" w:afterLines="100"/>
        <w:rPr>
          <w:rFonts w:cs="Times New Roman"/>
        </w:rPr>
      </w:pPr>
      <w:r>
        <w:rPr>
          <w:rFonts w:hint="eastAsia" w:cs="Times New Roman"/>
        </w:rPr>
        <w:t>(3) The corresponding tax invoices for delivery against TSR 20 futures;</w:t>
      </w:r>
    </w:p>
    <w:p>
      <w:pPr>
        <w:snapToGrid w:val="0"/>
        <w:spacing w:after="240" w:afterLines="100"/>
        <w:rPr>
          <w:rFonts w:cs="Times New Roman"/>
        </w:rPr>
      </w:pPr>
      <w:r>
        <w:rPr>
          <w:rFonts w:hint="eastAsia" w:cs="Times New Roman"/>
        </w:rPr>
        <w:t>(4) The import customs declaration form or border entry filing list; and</w:t>
      </w:r>
    </w:p>
    <w:p>
      <w:pPr>
        <w:snapToGrid w:val="0"/>
        <w:spacing w:after="240" w:afterLines="100"/>
        <w:rPr>
          <w:rFonts w:cs="Times New Roman"/>
        </w:rPr>
      </w:pPr>
      <w:r>
        <w:rPr>
          <w:rFonts w:hint="eastAsia" w:cs="Times New Roman"/>
        </w:rPr>
        <w:t>(5) Transport documents (e.g., ocean bill of lading, land waybill) and other valid certificates and commercial documents.</w:t>
      </w:r>
    </w:p>
    <w:p>
      <w:pPr>
        <w:snapToGrid w:val="0"/>
        <w:spacing w:after="240" w:afterLines="100"/>
        <w:rPr>
          <w:rFonts w:cs="Times New Roman"/>
        </w:rPr>
      </w:pPr>
      <w:r>
        <w:rPr>
          <w:rFonts w:hint="eastAsia" w:cs="Times New Roman"/>
        </w:rPr>
        <w:t xml:space="preserve">Based on the information provided by the payer, the Designated Depository Bank may process the domestic payment declaration on behalf of the payer. The transaction code shall be </w:t>
      </w:r>
      <w:r>
        <w:rPr>
          <w:rFonts w:cs="Times New Roman"/>
        </w:rPr>
        <w:t>“</w:t>
      </w:r>
      <w:r>
        <w:rPr>
          <w:rFonts w:hint="eastAsia" w:cs="Times New Roman"/>
        </w:rPr>
        <w:t xml:space="preserve">121010 </w:t>
      </w:r>
      <w:r>
        <w:rPr>
          <w:rFonts w:cs="Times New Roman"/>
        </w:rPr>
        <w:t xml:space="preserve">– </w:t>
      </w:r>
      <w:r>
        <w:rPr>
          <w:rFonts w:hint="eastAsia" w:cs="Times New Roman"/>
        </w:rPr>
        <w:t>General Trade</w:t>
      </w:r>
      <w:r>
        <w:rPr>
          <w:rFonts w:cs="Times New Roman"/>
        </w:rPr>
        <w:t>”</w:t>
      </w:r>
      <w:r>
        <w:rPr>
          <w:rFonts w:hint="eastAsia" w:cs="Times New Roman"/>
        </w:rPr>
        <w:t xml:space="preserve"> or </w:t>
      </w:r>
      <w:r>
        <w:rPr>
          <w:rFonts w:cs="Times New Roman"/>
        </w:rPr>
        <w:t>“</w:t>
      </w:r>
      <w:r>
        <w:rPr>
          <w:rFonts w:hint="eastAsia" w:cs="Times New Roman"/>
        </w:rPr>
        <w:t xml:space="preserve">121030 </w:t>
      </w:r>
      <w:r>
        <w:rPr>
          <w:rFonts w:cs="Times New Roman"/>
        </w:rPr>
        <w:t xml:space="preserve">– </w:t>
      </w:r>
      <w:r>
        <w:rPr>
          <w:rFonts w:hint="eastAsia" w:cs="Times New Roman"/>
        </w:rPr>
        <w:t>Logistics Goods Entering and Exiting Special Customs Supervision Areas and Bonded Supervision Venues,</w:t>
      </w:r>
      <w:r>
        <w:rPr>
          <w:rFonts w:cs="Times New Roman"/>
        </w:rPr>
        <w:t>”</w:t>
      </w:r>
      <w:r>
        <w:rPr>
          <w:rFonts w:hint="eastAsia" w:cs="Times New Roman"/>
        </w:rPr>
        <w:t xml:space="preserve"> and the transaction remarks shall specify </w:t>
      </w:r>
      <w:r>
        <w:rPr>
          <w:rFonts w:cs="Times New Roman"/>
        </w:rPr>
        <w:t>“</w:t>
      </w:r>
      <w:r>
        <w:rPr>
          <w:rFonts w:hint="eastAsia" w:cs="Times New Roman"/>
        </w:rPr>
        <w:t>Overseas Delivery against TSR 20 Futures.</w:t>
      </w:r>
      <w:r>
        <w:rPr>
          <w:rFonts w:cs="Times New Roman"/>
        </w:rPr>
        <w:t>”</w:t>
      </w:r>
    </w:p>
    <w:p>
      <w:pPr>
        <w:snapToGrid w:val="0"/>
        <w:spacing w:after="240" w:afterLines="100"/>
        <w:rPr>
          <w:rFonts w:cs="Times New Roman"/>
        </w:rPr>
      </w:pPr>
      <w:r>
        <w:rPr>
          <w:rFonts w:hint="eastAsia" w:cs="Times New Roman"/>
          <w:b/>
          <w:bCs/>
        </w:rPr>
        <w:t xml:space="preserve">Article 14 [Requirements for Domestic Traders or Non-FF Members on Selling Offshore Goods to Overseas Entities] </w:t>
      </w:r>
      <w:r>
        <w:rPr>
          <w:rFonts w:hint="eastAsia" w:cs="Times New Roman"/>
        </w:rPr>
        <w:t xml:space="preserve">Domestic traders and </w:t>
      </w:r>
      <w:r>
        <w:rPr>
          <w:rFonts w:cs="Times New Roman"/>
        </w:rPr>
        <w:t>N</w:t>
      </w:r>
      <w:r>
        <w:rPr>
          <w:rFonts w:hint="eastAsia" w:cs="Times New Roman"/>
        </w:rPr>
        <w:t xml:space="preserve">on-FF </w:t>
      </w:r>
      <w:r>
        <w:rPr>
          <w:rFonts w:cs="Times New Roman"/>
        </w:rPr>
        <w:t>M</w:t>
      </w:r>
      <w:r>
        <w:rPr>
          <w:rFonts w:hint="eastAsia" w:cs="Times New Roman"/>
        </w:rPr>
        <w:t>embers who, due to the overseas delivery against TSR 20 futures, sell offshore goods to overseas entities shall make a declaration for overseas receipts. The Designated Depository Bank shall first confirm the recipient's classification in the Enterprises Directory for Trade-Related Foreign Exchange Receipts and Payments, and then review the following documents:</w:t>
      </w:r>
    </w:p>
    <w:p>
      <w:pPr>
        <w:snapToGrid w:val="0"/>
        <w:spacing w:after="240" w:afterLines="100"/>
        <w:rPr>
          <w:rFonts w:cs="Times New Roman"/>
        </w:rPr>
      </w:pPr>
      <w:r>
        <w:rPr>
          <w:rFonts w:hint="eastAsia" w:cs="Times New Roman"/>
        </w:rPr>
        <w:t>(1) The overseas delivery settlement statement for TSR 20 futures issued by the Exchange;</w:t>
      </w:r>
    </w:p>
    <w:p>
      <w:pPr>
        <w:snapToGrid w:val="0"/>
        <w:spacing w:after="240" w:afterLines="100"/>
        <w:rPr>
          <w:rFonts w:cs="Times New Roman"/>
        </w:rPr>
      </w:pPr>
      <w:r>
        <w:rPr>
          <w:rFonts w:hint="eastAsia" w:cs="Times New Roman"/>
        </w:rPr>
        <w:t>(2) The list of corresponding overseas standard warrants for TSR 20;</w:t>
      </w:r>
    </w:p>
    <w:p>
      <w:pPr>
        <w:snapToGrid w:val="0"/>
        <w:spacing w:after="240" w:afterLines="100"/>
        <w:rPr>
          <w:rFonts w:cs="Times New Roman"/>
        </w:rPr>
      </w:pPr>
      <w:r>
        <w:rPr>
          <w:rFonts w:hint="eastAsia" w:cs="Times New Roman"/>
        </w:rPr>
        <w:t>(3) The corresponding tax invoices for delivery against TSR 20 futures;</w:t>
      </w:r>
    </w:p>
    <w:p>
      <w:pPr>
        <w:snapToGrid w:val="0"/>
        <w:spacing w:after="240" w:afterLines="100"/>
        <w:rPr>
          <w:rFonts w:cs="Times New Roman"/>
        </w:rPr>
      </w:pPr>
      <w:r>
        <w:rPr>
          <w:rFonts w:hint="eastAsia" w:cs="Times New Roman"/>
        </w:rPr>
        <w:t>(4) The corresponding sales and purchase contracts for the offshore TSR 20;</w:t>
      </w:r>
    </w:p>
    <w:p>
      <w:pPr>
        <w:snapToGrid w:val="0"/>
        <w:spacing w:after="240" w:afterLines="100"/>
        <w:rPr>
          <w:rFonts w:cs="Times New Roman"/>
        </w:rPr>
      </w:pPr>
      <w:r>
        <w:rPr>
          <w:rFonts w:hint="eastAsia" w:cs="Times New Roman"/>
        </w:rPr>
        <w:t>(5) Transport documents (e.g., ocean bill of lading, land waybill) and other valid certificates and commercial documents.</w:t>
      </w:r>
    </w:p>
    <w:p>
      <w:pPr>
        <w:snapToGrid w:val="0"/>
        <w:spacing w:after="240" w:afterLines="100"/>
        <w:rPr>
          <w:rFonts w:cs="Times New Roman"/>
        </w:rPr>
      </w:pPr>
      <w:r>
        <w:rPr>
          <w:rFonts w:hint="eastAsia" w:cs="Times New Roman"/>
        </w:rPr>
        <w:t xml:space="preserve">Based on the information provided by the recipient, the Designated Depository Bank may process the declaration for overseas receipts on behalf of the recipient. The transaction code shall be </w:t>
      </w:r>
      <w:r>
        <w:rPr>
          <w:rFonts w:cs="Times New Roman"/>
        </w:rPr>
        <w:t>“</w:t>
      </w:r>
      <w:r>
        <w:rPr>
          <w:rFonts w:hint="eastAsia" w:cs="Times New Roman"/>
        </w:rPr>
        <w:t xml:space="preserve">122990 </w:t>
      </w:r>
      <w:r>
        <w:rPr>
          <w:rFonts w:cs="Times New Roman"/>
        </w:rPr>
        <w:t xml:space="preserve">– </w:t>
      </w:r>
      <w:r>
        <w:rPr>
          <w:rFonts w:hint="eastAsia" w:cs="Times New Roman"/>
        </w:rPr>
        <w:t xml:space="preserve">Other Trade </w:t>
      </w:r>
      <w:r>
        <w:rPr>
          <w:rFonts w:cs="Times New Roman"/>
        </w:rPr>
        <w:t xml:space="preserve">in Goods </w:t>
      </w:r>
      <w:r>
        <w:rPr>
          <w:rFonts w:hint="eastAsia" w:cs="Times New Roman"/>
        </w:rPr>
        <w:t>Not Accounted for in Customs Statistics,</w:t>
      </w:r>
      <w:r>
        <w:rPr>
          <w:rFonts w:cs="Times New Roman"/>
        </w:rPr>
        <w:t>”</w:t>
      </w:r>
      <w:r>
        <w:rPr>
          <w:rFonts w:hint="eastAsia" w:cs="Times New Roman"/>
        </w:rPr>
        <w:t xml:space="preserve"> and the transaction remarks shall specify </w:t>
      </w:r>
      <w:r>
        <w:rPr>
          <w:rFonts w:cs="Times New Roman"/>
        </w:rPr>
        <w:t>“</w:t>
      </w:r>
      <w:r>
        <w:rPr>
          <w:rFonts w:hint="eastAsia" w:cs="Times New Roman"/>
        </w:rPr>
        <w:t>Resale after Overseas Delivery against TSR 20 Futures.</w:t>
      </w:r>
      <w:r>
        <w:rPr>
          <w:rFonts w:cs="Times New Roman"/>
        </w:rPr>
        <w:t>”</w:t>
      </w:r>
    </w:p>
    <w:p>
      <w:pPr>
        <w:snapToGrid w:val="0"/>
        <w:spacing w:after="240" w:afterLines="100"/>
        <w:rPr>
          <w:rFonts w:cs="Times New Roman"/>
        </w:rPr>
      </w:pPr>
      <w:r>
        <w:rPr>
          <w:rFonts w:hint="eastAsia" w:cs="Times New Roman"/>
          <w:b/>
          <w:bCs/>
        </w:rPr>
        <w:t xml:space="preserve">Article 15 [Requirements for Domestic Traders or Non-FF Members on Selling Offshore Goods to other Domestic Entities] </w:t>
      </w:r>
      <w:r>
        <w:rPr>
          <w:rFonts w:hint="eastAsia" w:cs="Times New Roman"/>
        </w:rPr>
        <w:t xml:space="preserve">Domestic traders and </w:t>
      </w:r>
      <w:r>
        <w:rPr>
          <w:rFonts w:cs="Times New Roman"/>
        </w:rPr>
        <w:t>N</w:t>
      </w:r>
      <w:r>
        <w:rPr>
          <w:rFonts w:hint="eastAsia" w:cs="Times New Roman"/>
        </w:rPr>
        <w:t xml:space="preserve">on-FF </w:t>
      </w:r>
      <w:r>
        <w:rPr>
          <w:rFonts w:cs="Times New Roman"/>
        </w:rPr>
        <w:t>M</w:t>
      </w:r>
      <w:r>
        <w:rPr>
          <w:rFonts w:hint="eastAsia" w:cs="Times New Roman"/>
        </w:rPr>
        <w:t xml:space="preserve">embers who, due to the overseas delivery against TSR 20 futures, sell offshore goods to other domestic entities, the domestic fund transfers among these domestic traders, </w:t>
      </w:r>
      <w:r>
        <w:rPr>
          <w:rFonts w:cs="Times New Roman"/>
        </w:rPr>
        <w:t>N</w:t>
      </w:r>
      <w:r>
        <w:rPr>
          <w:rFonts w:hint="eastAsia" w:cs="Times New Roman"/>
        </w:rPr>
        <w:t xml:space="preserve">on-FF </w:t>
      </w:r>
      <w:r>
        <w:rPr>
          <w:rFonts w:cs="Times New Roman"/>
        </w:rPr>
        <w:t>M</w:t>
      </w:r>
      <w:r>
        <w:rPr>
          <w:rFonts w:hint="eastAsia" w:cs="Times New Roman"/>
        </w:rPr>
        <w:t>embers, and other domestic entities shall be subject to additional domestic receipt and payment declarations.</w:t>
      </w:r>
    </w:p>
    <w:p>
      <w:pPr>
        <w:snapToGrid w:val="0"/>
        <w:spacing w:after="240" w:afterLines="100"/>
        <w:rPr>
          <w:rFonts w:cs="Times New Roman"/>
        </w:rPr>
      </w:pPr>
      <w:r>
        <w:rPr>
          <w:rFonts w:hint="eastAsia" w:cs="Times New Roman"/>
        </w:rPr>
        <w:t xml:space="preserve">1. After selling the offshore goods to other domestic entities, domestic traders and </w:t>
      </w:r>
      <w:r>
        <w:rPr>
          <w:rFonts w:cs="Times New Roman"/>
        </w:rPr>
        <w:t>N</w:t>
      </w:r>
      <w:r>
        <w:rPr>
          <w:rFonts w:hint="eastAsia" w:cs="Times New Roman"/>
        </w:rPr>
        <w:t xml:space="preserve">on-FF </w:t>
      </w:r>
      <w:r>
        <w:rPr>
          <w:rFonts w:cs="Times New Roman"/>
        </w:rPr>
        <w:t>M</w:t>
      </w:r>
      <w:r>
        <w:rPr>
          <w:rFonts w:hint="eastAsia" w:cs="Times New Roman"/>
        </w:rPr>
        <w:t xml:space="preserve">embers shall make a domestic receipt declaration for the payments thus received. After verifying the delivery and settlement information of the domestic traders and </w:t>
      </w:r>
      <w:r>
        <w:rPr>
          <w:rFonts w:cs="Times New Roman"/>
        </w:rPr>
        <w:t>N</w:t>
      </w:r>
      <w:r>
        <w:rPr>
          <w:rFonts w:hint="eastAsia" w:cs="Times New Roman"/>
        </w:rPr>
        <w:t xml:space="preserve">on-FF </w:t>
      </w:r>
      <w:r>
        <w:rPr>
          <w:rFonts w:cs="Times New Roman"/>
        </w:rPr>
        <w:t>M</w:t>
      </w:r>
      <w:r>
        <w:rPr>
          <w:rFonts w:hint="eastAsia" w:cs="Times New Roman"/>
        </w:rPr>
        <w:t xml:space="preserve">embers, as well as the resale information with other domestic entities, the Designated Depository Bank shall process the domestic receipt declaration for them. The transaction code shall be </w:t>
      </w:r>
      <w:r>
        <w:rPr>
          <w:rFonts w:cs="Times New Roman"/>
        </w:rPr>
        <w:t>“</w:t>
      </w:r>
      <w:r>
        <w:rPr>
          <w:rFonts w:hint="eastAsia" w:cs="Times New Roman"/>
        </w:rPr>
        <w:t xml:space="preserve">122990 </w:t>
      </w:r>
      <w:r>
        <w:rPr>
          <w:rFonts w:cs="Times New Roman"/>
        </w:rPr>
        <w:t xml:space="preserve">– </w:t>
      </w:r>
      <w:r>
        <w:rPr>
          <w:rFonts w:hint="eastAsia" w:cs="Times New Roman"/>
        </w:rPr>
        <w:t xml:space="preserve">Other Trade </w:t>
      </w:r>
      <w:r>
        <w:rPr>
          <w:rFonts w:cs="Times New Roman"/>
        </w:rPr>
        <w:t xml:space="preserve">in Goods </w:t>
      </w:r>
      <w:r>
        <w:rPr>
          <w:rFonts w:hint="eastAsia" w:cs="Times New Roman"/>
        </w:rPr>
        <w:t>Not Accounted for in Customs Statistics,</w:t>
      </w:r>
      <w:r>
        <w:rPr>
          <w:rFonts w:cs="Times New Roman"/>
        </w:rPr>
        <w:t>”</w:t>
      </w:r>
      <w:r>
        <w:rPr>
          <w:rFonts w:hint="eastAsia" w:cs="Times New Roman"/>
        </w:rPr>
        <w:t xml:space="preserve"> and the transaction remarks shall specify </w:t>
      </w:r>
      <w:r>
        <w:rPr>
          <w:rFonts w:cs="Times New Roman"/>
        </w:rPr>
        <w:t>“</w:t>
      </w:r>
      <w:r>
        <w:rPr>
          <w:rFonts w:hint="eastAsia" w:cs="Times New Roman"/>
        </w:rPr>
        <w:t>Resale after Overseas Delivery against TSR 20 Futures.</w:t>
      </w:r>
      <w:r>
        <w:rPr>
          <w:rFonts w:cs="Times New Roman"/>
        </w:rPr>
        <w:t>”</w:t>
      </w:r>
    </w:p>
    <w:p>
      <w:pPr>
        <w:snapToGrid w:val="0"/>
        <w:spacing w:after="240" w:afterLines="100"/>
        <w:rPr>
          <w:rFonts w:cs="Times New Roman"/>
        </w:rPr>
      </w:pPr>
      <w:r>
        <w:rPr>
          <w:rFonts w:hint="eastAsia" w:cs="Times New Roman"/>
        </w:rPr>
        <w:t xml:space="preserve">2. Where a domestic entity acts as a purchaser and later resells the offshore goods to another domestic entity, it shall make domestic receipt and payment declarations for the domestic funds thus paid or received. The processing bank shall, after verifying the resale transaction information and the corresponding transfer of cargo rights, process the domestic receipt and payment declarations for the domestic entity. The transaction code shall be </w:t>
      </w:r>
      <w:r>
        <w:rPr>
          <w:rFonts w:cs="Times New Roman"/>
        </w:rPr>
        <w:t>“</w:t>
      </w:r>
      <w:r>
        <w:rPr>
          <w:rFonts w:hint="eastAsia" w:cs="Times New Roman"/>
        </w:rPr>
        <w:t xml:space="preserve">122990 </w:t>
      </w:r>
      <w:r>
        <w:rPr>
          <w:rFonts w:cs="Times New Roman"/>
        </w:rPr>
        <w:t xml:space="preserve">– </w:t>
      </w:r>
      <w:r>
        <w:rPr>
          <w:rFonts w:hint="eastAsia" w:cs="Times New Roman"/>
        </w:rPr>
        <w:t xml:space="preserve">Other Trade </w:t>
      </w:r>
      <w:r>
        <w:rPr>
          <w:rFonts w:cs="Times New Roman"/>
        </w:rPr>
        <w:t xml:space="preserve">in Goods </w:t>
      </w:r>
      <w:r>
        <w:rPr>
          <w:rFonts w:hint="eastAsia" w:cs="Times New Roman"/>
        </w:rPr>
        <w:t>Not Accounted for in Customs Statistics,</w:t>
      </w:r>
      <w:r>
        <w:rPr>
          <w:rFonts w:cs="Times New Roman"/>
        </w:rPr>
        <w:t>”</w:t>
      </w:r>
      <w:r>
        <w:rPr>
          <w:rFonts w:hint="eastAsia" w:cs="Times New Roman"/>
        </w:rPr>
        <w:t xml:space="preserve"> and the transaction remarks shall specify </w:t>
      </w:r>
      <w:r>
        <w:rPr>
          <w:rFonts w:cs="Times New Roman"/>
        </w:rPr>
        <w:t>“</w:t>
      </w:r>
      <w:r>
        <w:rPr>
          <w:rFonts w:hint="eastAsia" w:cs="Times New Roman"/>
        </w:rPr>
        <w:t>Resale after Cross-border Delivery against TSR 20 Futures.</w:t>
      </w:r>
      <w:r>
        <w:rPr>
          <w:rFonts w:cs="Times New Roman"/>
        </w:rPr>
        <w:t>”</w:t>
      </w:r>
    </w:p>
    <w:p>
      <w:pPr>
        <w:snapToGrid w:val="0"/>
        <w:spacing w:after="240" w:afterLines="100"/>
        <w:jc w:val="center"/>
        <w:rPr>
          <w:rFonts w:cs="Times New Roman"/>
          <w:b/>
          <w:bCs/>
        </w:rPr>
      </w:pPr>
      <w:r>
        <w:rPr>
          <w:rFonts w:hint="eastAsia" w:cs="Times New Roman"/>
          <w:b/>
          <w:bCs/>
        </w:rPr>
        <w:t>Chapter 4</w:t>
      </w:r>
      <w:r>
        <w:rPr>
          <w:rFonts w:cs="Times New Roman"/>
          <w:b/>
          <w:bCs/>
        </w:rPr>
        <w:tab/>
      </w:r>
      <w:r>
        <w:rPr>
          <w:rFonts w:hint="eastAsia" w:cs="Times New Roman"/>
          <w:b/>
          <w:bCs/>
        </w:rPr>
        <w:t>Administration of Tax Invoices for Overseas Delivery against TSR 20 Futures</w:t>
      </w:r>
    </w:p>
    <w:p>
      <w:pPr>
        <w:snapToGrid w:val="0"/>
        <w:spacing w:after="240" w:afterLines="100"/>
        <w:rPr>
          <w:rFonts w:cs="Times New Roman"/>
        </w:rPr>
      </w:pPr>
      <w:r>
        <w:rPr>
          <w:rFonts w:hint="eastAsia" w:cs="Times New Roman"/>
          <w:b/>
          <w:bCs/>
        </w:rPr>
        <w:t xml:space="preserve">Article 16 [Administration of Tax Invoices for Overseas Delivery] </w:t>
      </w:r>
      <w:r>
        <w:rPr>
          <w:rFonts w:hint="eastAsia" w:cs="Times New Roman"/>
        </w:rPr>
        <w:t>After the overseas delivery matching, the seller shall issue a tax invoice or other documents recognized by the tax authorities (</w:t>
      </w:r>
      <w:r>
        <w:rPr>
          <w:rFonts w:cs="Times New Roman"/>
        </w:rPr>
        <w:t>“</w:t>
      </w:r>
      <w:r>
        <w:rPr>
          <w:rFonts w:hint="eastAsia" w:cs="Times New Roman"/>
          <w:b/>
          <w:bCs/>
        </w:rPr>
        <w:t>Tax Invoice</w:t>
      </w:r>
      <w:r>
        <w:rPr>
          <w:rFonts w:cs="Times New Roman"/>
        </w:rPr>
        <w:t>”</w:t>
      </w:r>
      <w:r>
        <w:rPr>
          <w:rFonts w:hint="eastAsia" w:cs="Times New Roman"/>
        </w:rPr>
        <w:t>) to the buyer as proof of seller</w:t>
      </w:r>
      <w:r>
        <w:rPr>
          <w:rFonts w:cs="Times New Roman"/>
        </w:rPr>
        <w:t>’</w:t>
      </w:r>
      <w:r>
        <w:rPr>
          <w:rFonts w:hint="eastAsia" w:cs="Times New Roman"/>
        </w:rPr>
        <w:t>s payment.</w:t>
      </w:r>
    </w:p>
    <w:p>
      <w:pPr>
        <w:snapToGrid w:val="0"/>
        <w:spacing w:after="240" w:afterLines="100"/>
        <w:rPr>
          <w:rFonts w:cs="Times New Roman"/>
        </w:rPr>
      </w:pPr>
      <w:r>
        <w:rPr>
          <w:rFonts w:hint="eastAsia" w:cs="Times New Roman"/>
        </w:rPr>
        <w:t xml:space="preserve">The specific information required by the parties for issuing the Tax Invoice, as well as the Tax Invoice itself, shall be verified, transmitted, and confirmed by the </w:t>
      </w:r>
      <w:r>
        <w:rPr>
          <w:rFonts w:cs="Times New Roman"/>
        </w:rPr>
        <w:t>M</w:t>
      </w:r>
      <w:r>
        <w:rPr>
          <w:rFonts w:hint="eastAsia" w:cs="Times New Roman"/>
        </w:rPr>
        <w:t xml:space="preserve">embers providing service to both parties. The </w:t>
      </w:r>
      <w:r>
        <w:rPr>
          <w:rFonts w:cs="Times New Roman"/>
        </w:rPr>
        <w:t>M</w:t>
      </w:r>
      <w:r>
        <w:rPr>
          <w:rFonts w:hint="eastAsia" w:cs="Times New Roman"/>
        </w:rPr>
        <w:t xml:space="preserve">embers of both parties are responsible for mediating and handling any related disputes. The overseas brokerage institution shall assist the </w:t>
      </w:r>
      <w:r>
        <w:rPr>
          <w:rFonts w:cs="Times New Roman"/>
        </w:rPr>
        <w:t>M</w:t>
      </w:r>
      <w:r>
        <w:rPr>
          <w:rFonts w:hint="eastAsia" w:cs="Times New Roman"/>
        </w:rPr>
        <w:t xml:space="preserve">embers in verifying, transmitting, and confirming the specific information required for issuance of Tax Invoice and the Tax Invoice itself, and shall also assist the </w:t>
      </w:r>
      <w:r>
        <w:rPr>
          <w:rFonts w:cs="Times New Roman"/>
        </w:rPr>
        <w:t>M</w:t>
      </w:r>
      <w:r>
        <w:rPr>
          <w:rFonts w:hint="eastAsia" w:cs="Times New Roman"/>
        </w:rPr>
        <w:t>embers in mediating and handling related disputes. The Exchange may assist in transmitting the specific information required for issuing the Tax Invoice.</w:t>
      </w:r>
    </w:p>
    <w:p>
      <w:pPr>
        <w:snapToGrid w:val="0"/>
        <w:spacing w:after="240" w:afterLines="100"/>
        <w:rPr>
          <w:rFonts w:cs="Times New Roman"/>
        </w:rPr>
      </w:pPr>
      <w:r>
        <w:rPr>
          <w:rFonts w:hint="eastAsia" w:cs="Times New Roman"/>
        </w:rPr>
        <w:t>Before the third delivery day, the buyer</w:t>
      </w:r>
      <w:r>
        <w:rPr>
          <w:rFonts w:cs="Times New Roman"/>
        </w:rPr>
        <w:t>’</w:t>
      </w:r>
      <w:r>
        <w:rPr>
          <w:rFonts w:hint="eastAsia" w:cs="Times New Roman"/>
        </w:rPr>
        <w:t xml:space="preserve">s </w:t>
      </w:r>
      <w:r>
        <w:rPr>
          <w:rFonts w:cs="Times New Roman"/>
        </w:rPr>
        <w:t>M</w:t>
      </w:r>
      <w:r>
        <w:rPr>
          <w:rFonts w:hint="eastAsia" w:cs="Times New Roman"/>
        </w:rPr>
        <w:t>ember shall provide the seller</w:t>
      </w:r>
      <w:r>
        <w:rPr>
          <w:rFonts w:cs="Times New Roman"/>
        </w:rPr>
        <w:t>’</w:t>
      </w:r>
      <w:r>
        <w:rPr>
          <w:rFonts w:hint="eastAsia" w:cs="Times New Roman"/>
        </w:rPr>
        <w:t xml:space="preserve">s </w:t>
      </w:r>
      <w:r>
        <w:rPr>
          <w:rFonts w:cs="Times New Roman"/>
        </w:rPr>
        <w:t>M</w:t>
      </w:r>
      <w:r>
        <w:rPr>
          <w:rFonts w:hint="eastAsia" w:cs="Times New Roman"/>
        </w:rPr>
        <w:t>ember with the specific information required for issuing the Tax Invoice. The seller</w:t>
      </w:r>
      <w:r>
        <w:rPr>
          <w:rFonts w:cs="Times New Roman"/>
        </w:rPr>
        <w:t>’</w:t>
      </w:r>
      <w:r>
        <w:rPr>
          <w:rFonts w:hint="eastAsia" w:cs="Times New Roman"/>
        </w:rPr>
        <w:t xml:space="preserve">s </w:t>
      </w:r>
      <w:r>
        <w:rPr>
          <w:rFonts w:cs="Times New Roman"/>
        </w:rPr>
        <w:t>M</w:t>
      </w:r>
      <w:r>
        <w:rPr>
          <w:rFonts w:hint="eastAsia" w:cs="Times New Roman"/>
        </w:rPr>
        <w:t>ember shall deliver the Tax Invoice to the buyer</w:t>
      </w:r>
      <w:r>
        <w:rPr>
          <w:rFonts w:cs="Times New Roman"/>
        </w:rPr>
        <w:t>’</w:t>
      </w:r>
      <w:r>
        <w:rPr>
          <w:rFonts w:hint="eastAsia" w:cs="Times New Roman"/>
        </w:rPr>
        <w:t xml:space="preserve">s </w:t>
      </w:r>
      <w:r>
        <w:rPr>
          <w:rFonts w:cs="Times New Roman"/>
        </w:rPr>
        <w:t>M</w:t>
      </w:r>
      <w:r>
        <w:rPr>
          <w:rFonts w:hint="eastAsia" w:cs="Times New Roman"/>
        </w:rPr>
        <w:t>ember no later than the last delivery day.</w:t>
      </w:r>
    </w:p>
    <w:p>
      <w:pPr>
        <w:snapToGrid w:val="0"/>
        <w:spacing w:after="240" w:afterLines="100"/>
        <w:rPr>
          <w:rFonts w:cs="Times New Roman"/>
        </w:rPr>
      </w:pPr>
      <w:r>
        <w:rPr>
          <w:rFonts w:hint="eastAsia" w:cs="Times New Roman"/>
          <w:b/>
          <w:bCs/>
        </w:rPr>
        <w:t xml:space="preserve">Article 17 [Collection and Refund of Tax Invoice Margin] </w:t>
      </w:r>
      <w:r>
        <w:rPr>
          <w:rFonts w:hint="eastAsia" w:cs="Times New Roman"/>
        </w:rPr>
        <w:t>After the buyer</w:t>
      </w:r>
      <w:r>
        <w:rPr>
          <w:rFonts w:cs="Times New Roman"/>
        </w:rPr>
        <w:t>’</w:t>
      </w:r>
      <w:r>
        <w:rPr>
          <w:rFonts w:hint="eastAsia" w:cs="Times New Roman"/>
        </w:rPr>
        <w:t xml:space="preserve">s </w:t>
      </w:r>
      <w:r>
        <w:rPr>
          <w:rFonts w:cs="Times New Roman"/>
        </w:rPr>
        <w:t>M</w:t>
      </w:r>
      <w:r>
        <w:rPr>
          <w:rFonts w:hint="eastAsia" w:cs="Times New Roman"/>
        </w:rPr>
        <w:t>ember confirms that the seller</w:t>
      </w:r>
      <w:r>
        <w:rPr>
          <w:rFonts w:cs="Times New Roman"/>
        </w:rPr>
        <w:t>’</w:t>
      </w:r>
      <w:r>
        <w:rPr>
          <w:rFonts w:hint="eastAsia" w:cs="Times New Roman"/>
        </w:rPr>
        <w:t xml:space="preserve">s </w:t>
      </w:r>
      <w:r>
        <w:rPr>
          <w:rFonts w:cs="Times New Roman"/>
        </w:rPr>
        <w:t>M</w:t>
      </w:r>
      <w:r>
        <w:rPr>
          <w:rFonts w:hint="eastAsia" w:cs="Times New Roman"/>
        </w:rPr>
        <w:t>ember has properly handled all Tax Invoice-related matters for the overseas delivery against TSR 20 futures, the buyer</w:t>
      </w:r>
      <w:r>
        <w:rPr>
          <w:rFonts w:cs="Times New Roman"/>
        </w:rPr>
        <w:t>’</w:t>
      </w:r>
      <w:r>
        <w:rPr>
          <w:rFonts w:hint="eastAsia" w:cs="Times New Roman"/>
        </w:rPr>
        <w:t xml:space="preserve">s </w:t>
      </w:r>
      <w:r>
        <w:rPr>
          <w:rFonts w:cs="Times New Roman"/>
        </w:rPr>
        <w:t>M</w:t>
      </w:r>
      <w:r>
        <w:rPr>
          <w:rFonts w:hint="eastAsia" w:cs="Times New Roman"/>
        </w:rPr>
        <w:t xml:space="preserve">ember shall complete and submit the </w:t>
      </w:r>
      <w:r>
        <w:rPr>
          <w:rFonts w:cs="Times New Roman"/>
        </w:rPr>
        <w:t>“</w:t>
      </w:r>
      <w:r>
        <w:rPr>
          <w:rFonts w:hint="eastAsia" w:cs="Times New Roman"/>
        </w:rPr>
        <w:t>Tax Invoice Confirmation for Overseas Delivery</w:t>
      </w:r>
      <w:r>
        <w:rPr>
          <w:rFonts w:cs="Times New Roman"/>
        </w:rPr>
        <w:t>”</w:t>
      </w:r>
      <w:r>
        <w:rPr>
          <w:rFonts w:hint="eastAsia" w:cs="Times New Roman"/>
        </w:rPr>
        <w:t xml:space="preserve"> (see Annex 4) to the Exchange. If the seller</w:t>
      </w:r>
      <w:r>
        <w:rPr>
          <w:rFonts w:cs="Times New Roman"/>
        </w:rPr>
        <w:t>’</w:t>
      </w:r>
      <w:r>
        <w:rPr>
          <w:rFonts w:hint="eastAsia" w:cs="Times New Roman"/>
        </w:rPr>
        <w:t xml:space="preserve">s </w:t>
      </w:r>
      <w:r>
        <w:rPr>
          <w:rFonts w:cs="Times New Roman"/>
        </w:rPr>
        <w:t>M</w:t>
      </w:r>
      <w:r>
        <w:rPr>
          <w:rFonts w:hint="eastAsia" w:cs="Times New Roman"/>
        </w:rPr>
        <w:t>ember has not completed the handling of Tax Invoice-related matters by 14:00 on the third delivery day, the Exchange shall, on the same day, collect a Tax Invoice margin from the seller</w:t>
      </w:r>
      <w:r>
        <w:rPr>
          <w:rFonts w:cs="Times New Roman"/>
        </w:rPr>
        <w:t>’</w:t>
      </w:r>
      <w:r>
        <w:rPr>
          <w:rFonts w:hint="eastAsia" w:cs="Times New Roman"/>
        </w:rPr>
        <w:t xml:space="preserve">s </w:t>
      </w:r>
      <w:r>
        <w:rPr>
          <w:rFonts w:cs="Times New Roman"/>
        </w:rPr>
        <w:t>M</w:t>
      </w:r>
      <w:r>
        <w:rPr>
          <w:rFonts w:hint="eastAsia" w:cs="Times New Roman"/>
        </w:rPr>
        <w:t xml:space="preserve">ember for the corresponding delivery position, calculated at no less than 15% of the contract's delivery settlement price. This margin shall be refunded after the Tax Invoice-related matters are settled and upon application and confirmation by the </w:t>
      </w:r>
      <w:r>
        <w:rPr>
          <w:rFonts w:cs="Times New Roman"/>
        </w:rPr>
        <w:t>M</w:t>
      </w:r>
      <w:r>
        <w:rPr>
          <w:rFonts w:hint="eastAsia" w:cs="Times New Roman"/>
        </w:rPr>
        <w:t>embers of both parties.</w:t>
      </w:r>
    </w:p>
    <w:p>
      <w:pPr>
        <w:snapToGrid w:val="0"/>
        <w:spacing w:after="240" w:afterLines="100"/>
        <w:rPr>
          <w:rFonts w:cs="Times New Roman"/>
        </w:rPr>
      </w:pPr>
      <w:r>
        <w:rPr>
          <w:rFonts w:cs="Times New Roman"/>
        </w:rPr>
        <w:t>If the Seller's Member delays delivery of the Tax Invoice for 3 to 10 days, a late fee of 0.05% of the payment amount shall be charged per day.</w:t>
      </w:r>
      <w:r>
        <w:rPr>
          <w:rFonts w:hint="eastAsia" w:cs="Times New Roman"/>
        </w:rPr>
        <w:t xml:space="preserve"> </w:t>
      </w:r>
      <w:r>
        <w:rPr>
          <w:rFonts w:cs="Times New Roman"/>
        </w:rPr>
        <w:t>If the delay extends to 11 to 30 days, a late fee of 0.1% of the payment amount shall be charged per day.</w:t>
      </w:r>
      <w:r>
        <w:rPr>
          <w:rFonts w:hint="eastAsia" w:cs="Times New Roman"/>
        </w:rPr>
        <w:t xml:space="preserve"> </w:t>
      </w:r>
      <w:r>
        <w:rPr>
          <w:rFonts w:cs="Times New Roman"/>
        </w:rPr>
        <w:t>If the Tax Invoice remains undelivered for more than 30 days, it shall be deemed a failure to deliver, and liquidated damages of 15% of the payment amount shall be imposed.</w:t>
      </w:r>
      <w:r>
        <w:rPr>
          <w:rFonts w:hint="eastAsia" w:cs="Times New Roman"/>
        </w:rPr>
        <w:t xml:space="preserve"> Upon confirmation and application by both parties, the late fees and </w:t>
      </w:r>
      <w:r>
        <w:rPr>
          <w:rFonts w:cs="Times New Roman"/>
        </w:rPr>
        <w:t>liquidated damages</w:t>
      </w:r>
      <w:r>
        <w:rPr>
          <w:rFonts w:hint="eastAsia" w:cs="Times New Roman"/>
        </w:rPr>
        <w:t xml:space="preserve"> shall be collected by the Exchange from the seller</w:t>
      </w:r>
      <w:r>
        <w:rPr>
          <w:rFonts w:cs="Times New Roman"/>
        </w:rPr>
        <w:t>’</w:t>
      </w:r>
      <w:r>
        <w:rPr>
          <w:rFonts w:hint="eastAsia" w:cs="Times New Roman"/>
        </w:rPr>
        <w:t xml:space="preserve">s </w:t>
      </w:r>
      <w:r>
        <w:rPr>
          <w:rFonts w:cs="Times New Roman"/>
        </w:rPr>
        <w:t>M</w:t>
      </w:r>
      <w:r>
        <w:rPr>
          <w:rFonts w:hint="eastAsia" w:cs="Times New Roman"/>
        </w:rPr>
        <w:t>ember and transferred to the buyer</w:t>
      </w:r>
      <w:r>
        <w:rPr>
          <w:rFonts w:cs="Times New Roman"/>
        </w:rPr>
        <w:t>’</w:t>
      </w:r>
      <w:r>
        <w:rPr>
          <w:rFonts w:hint="eastAsia" w:cs="Times New Roman"/>
        </w:rPr>
        <w:t xml:space="preserve">s </w:t>
      </w:r>
      <w:r>
        <w:rPr>
          <w:rFonts w:cs="Times New Roman"/>
        </w:rPr>
        <w:t>M</w:t>
      </w:r>
      <w:r>
        <w:rPr>
          <w:rFonts w:hint="eastAsia" w:cs="Times New Roman"/>
        </w:rPr>
        <w:t>ember. If the parties have agreed otherwise, their agreement shall prevail.</w:t>
      </w:r>
    </w:p>
    <w:p>
      <w:pPr>
        <w:snapToGrid w:val="0"/>
        <w:spacing w:after="240" w:afterLines="100"/>
        <w:rPr>
          <w:rFonts w:cs="Times New Roman"/>
        </w:rPr>
      </w:pPr>
      <w:r>
        <w:rPr>
          <w:rFonts w:hint="eastAsia" w:cs="Times New Roman"/>
          <w:b/>
          <w:bCs/>
        </w:rPr>
        <w:t xml:space="preserve">Article 18 [Confirmation of Tax Invoice Receipt] </w:t>
      </w:r>
      <w:r>
        <w:rPr>
          <w:rFonts w:hint="eastAsia" w:cs="Times New Roman"/>
        </w:rPr>
        <w:t>The buyer</w:t>
      </w:r>
      <w:r>
        <w:rPr>
          <w:rFonts w:cs="Times New Roman"/>
        </w:rPr>
        <w:t>’</w:t>
      </w:r>
      <w:r>
        <w:rPr>
          <w:rFonts w:hint="eastAsia" w:cs="Times New Roman"/>
        </w:rPr>
        <w:t xml:space="preserve">s </w:t>
      </w:r>
      <w:r>
        <w:rPr>
          <w:rFonts w:cs="Times New Roman"/>
        </w:rPr>
        <w:t>M</w:t>
      </w:r>
      <w:r>
        <w:rPr>
          <w:rFonts w:hint="eastAsia" w:cs="Times New Roman"/>
        </w:rPr>
        <w:t>ember shall confirm the receipt of the Tax Invoice as soon as possible and notify the seller</w:t>
      </w:r>
      <w:r>
        <w:rPr>
          <w:rFonts w:cs="Times New Roman"/>
        </w:rPr>
        <w:t>’</w:t>
      </w:r>
      <w:r>
        <w:rPr>
          <w:rFonts w:hint="eastAsia" w:cs="Times New Roman"/>
        </w:rPr>
        <w:t xml:space="preserve">s </w:t>
      </w:r>
      <w:r>
        <w:rPr>
          <w:rFonts w:cs="Times New Roman"/>
        </w:rPr>
        <w:t>M</w:t>
      </w:r>
      <w:r>
        <w:rPr>
          <w:rFonts w:hint="eastAsia" w:cs="Times New Roman"/>
        </w:rPr>
        <w:t>ember of the confirmation result.</w:t>
      </w:r>
    </w:p>
    <w:p>
      <w:pPr>
        <w:snapToGrid w:val="0"/>
        <w:spacing w:after="240" w:afterLines="100"/>
        <w:rPr>
          <w:rFonts w:cs="Times New Roman"/>
        </w:rPr>
      </w:pPr>
      <w:r>
        <w:rPr>
          <w:rFonts w:hint="eastAsia" w:cs="Times New Roman"/>
        </w:rPr>
        <w:t>If a Tax Invoice is invalidated due to incorrect information provided by the buyer</w:t>
      </w:r>
      <w:r>
        <w:rPr>
          <w:rFonts w:cs="Times New Roman"/>
        </w:rPr>
        <w:t>’</w:t>
      </w:r>
      <w:r>
        <w:rPr>
          <w:rFonts w:hint="eastAsia" w:cs="Times New Roman"/>
        </w:rPr>
        <w:t xml:space="preserve">s </w:t>
      </w:r>
      <w:r>
        <w:rPr>
          <w:rFonts w:cs="Times New Roman"/>
        </w:rPr>
        <w:t>M</w:t>
      </w:r>
      <w:r>
        <w:rPr>
          <w:rFonts w:hint="eastAsia" w:cs="Times New Roman"/>
        </w:rPr>
        <w:t>ember, the buyer, or the buyer's overseas brokerage institution, the responsible party shall be liable for all consequences arising therefrom. If the buyer</w:t>
      </w:r>
      <w:r>
        <w:rPr>
          <w:rFonts w:cs="Times New Roman"/>
        </w:rPr>
        <w:t>’</w:t>
      </w:r>
      <w:r>
        <w:rPr>
          <w:rFonts w:hint="eastAsia" w:cs="Times New Roman"/>
        </w:rPr>
        <w:t xml:space="preserve">s </w:t>
      </w:r>
      <w:r>
        <w:rPr>
          <w:rFonts w:cs="Times New Roman"/>
        </w:rPr>
        <w:t>M</w:t>
      </w:r>
      <w:r>
        <w:rPr>
          <w:rFonts w:hint="eastAsia" w:cs="Times New Roman"/>
        </w:rPr>
        <w:t>ember delays in providing the required information, the deadline for the seller</w:t>
      </w:r>
      <w:r>
        <w:rPr>
          <w:rFonts w:cs="Times New Roman"/>
        </w:rPr>
        <w:t>’</w:t>
      </w:r>
      <w:r>
        <w:rPr>
          <w:rFonts w:hint="eastAsia" w:cs="Times New Roman"/>
        </w:rPr>
        <w:t xml:space="preserve">s </w:t>
      </w:r>
      <w:r>
        <w:rPr>
          <w:rFonts w:cs="Times New Roman"/>
        </w:rPr>
        <w:t>M</w:t>
      </w:r>
      <w:r>
        <w:rPr>
          <w:rFonts w:hint="eastAsia" w:cs="Times New Roman"/>
        </w:rPr>
        <w:t>ember to provide the Tax Invoice may be extended accordingly.</w:t>
      </w:r>
    </w:p>
    <w:p>
      <w:pPr>
        <w:snapToGrid w:val="0"/>
        <w:spacing w:after="240" w:afterLines="100"/>
        <w:rPr>
          <w:rFonts w:cs="Times New Roman"/>
        </w:rPr>
      </w:pPr>
      <w:r>
        <w:rPr>
          <w:rFonts w:hint="eastAsia" w:cs="Times New Roman"/>
          <w:b/>
          <w:bCs/>
        </w:rPr>
        <w:t xml:space="preserve">Article 19 [Administration of Tax Invoices for Exchange of Futures for Physicals (EFP) Transactions] </w:t>
      </w:r>
      <w:r>
        <w:rPr>
          <w:rFonts w:hint="eastAsia" w:cs="Times New Roman"/>
        </w:rPr>
        <w:t>For Exchange of Futures for Physicals (EFP) transactions involving TSR 20 futures that use overseas standard warrants and are settled through the Exchange, the seller shall issue the Tax Invoice to the buyer. The buyer</w:t>
      </w:r>
      <w:r>
        <w:rPr>
          <w:rFonts w:cs="Times New Roman"/>
        </w:rPr>
        <w:t>’</w:t>
      </w:r>
      <w:r>
        <w:rPr>
          <w:rFonts w:hint="eastAsia" w:cs="Times New Roman"/>
        </w:rPr>
        <w:t xml:space="preserve">s </w:t>
      </w:r>
      <w:r>
        <w:rPr>
          <w:rFonts w:cs="Times New Roman"/>
        </w:rPr>
        <w:t>M</w:t>
      </w:r>
      <w:r>
        <w:rPr>
          <w:rFonts w:hint="eastAsia" w:cs="Times New Roman"/>
        </w:rPr>
        <w:t>ember shall provide the seller</w:t>
      </w:r>
      <w:r>
        <w:rPr>
          <w:rFonts w:cs="Times New Roman"/>
        </w:rPr>
        <w:t>’</w:t>
      </w:r>
      <w:r>
        <w:rPr>
          <w:rFonts w:hint="eastAsia" w:cs="Times New Roman"/>
        </w:rPr>
        <w:t xml:space="preserve">s </w:t>
      </w:r>
      <w:r>
        <w:rPr>
          <w:rFonts w:cs="Times New Roman"/>
        </w:rPr>
        <w:t>M</w:t>
      </w:r>
      <w:r>
        <w:rPr>
          <w:rFonts w:hint="eastAsia" w:cs="Times New Roman"/>
        </w:rPr>
        <w:t>ember with the specific information required for issuing the Tax Invoice within one (1) trading day after completing the EFP procedures. The seller</w:t>
      </w:r>
      <w:r>
        <w:rPr>
          <w:rFonts w:cs="Times New Roman"/>
        </w:rPr>
        <w:t>’</w:t>
      </w:r>
      <w:r>
        <w:rPr>
          <w:rFonts w:hint="eastAsia" w:cs="Times New Roman"/>
        </w:rPr>
        <w:t xml:space="preserve">s </w:t>
      </w:r>
      <w:r>
        <w:rPr>
          <w:rFonts w:cs="Times New Roman"/>
        </w:rPr>
        <w:t>M</w:t>
      </w:r>
      <w:r>
        <w:rPr>
          <w:rFonts w:hint="eastAsia" w:cs="Times New Roman"/>
        </w:rPr>
        <w:t>ember shall deliver the Tax Invoice to the buyer</w:t>
      </w:r>
      <w:r>
        <w:rPr>
          <w:rFonts w:cs="Times New Roman"/>
        </w:rPr>
        <w:t>’</w:t>
      </w:r>
      <w:r>
        <w:rPr>
          <w:rFonts w:hint="eastAsia" w:cs="Times New Roman"/>
        </w:rPr>
        <w:t xml:space="preserve">s </w:t>
      </w:r>
      <w:r>
        <w:rPr>
          <w:rFonts w:cs="Times New Roman"/>
        </w:rPr>
        <w:t>M</w:t>
      </w:r>
      <w:r>
        <w:rPr>
          <w:rFonts w:hint="eastAsia" w:cs="Times New Roman"/>
        </w:rPr>
        <w:t>ember within five (5) trading days after completing the EFP procedures.</w:t>
      </w:r>
    </w:p>
    <w:p>
      <w:pPr>
        <w:snapToGrid w:val="0"/>
        <w:spacing w:after="240" w:afterLines="100"/>
        <w:rPr>
          <w:rFonts w:cs="Times New Roman"/>
        </w:rPr>
      </w:pPr>
      <w:r>
        <w:rPr>
          <w:rFonts w:hint="eastAsia" w:cs="Times New Roman"/>
        </w:rPr>
        <w:t>After the buyer</w:t>
      </w:r>
      <w:r>
        <w:rPr>
          <w:rFonts w:cs="Times New Roman"/>
        </w:rPr>
        <w:t>’</w:t>
      </w:r>
      <w:r>
        <w:rPr>
          <w:rFonts w:hint="eastAsia" w:cs="Times New Roman"/>
        </w:rPr>
        <w:t xml:space="preserve">s </w:t>
      </w:r>
      <w:r>
        <w:rPr>
          <w:rFonts w:cs="Times New Roman"/>
        </w:rPr>
        <w:t>M</w:t>
      </w:r>
      <w:r>
        <w:rPr>
          <w:rFonts w:hint="eastAsia" w:cs="Times New Roman"/>
        </w:rPr>
        <w:t>ember confirms that the seller</w:t>
      </w:r>
      <w:r>
        <w:rPr>
          <w:rFonts w:cs="Times New Roman"/>
        </w:rPr>
        <w:t>’</w:t>
      </w:r>
      <w:r>
        <w:rPr>
          <w:rFonts w:hint="eastAsia" w:cs="Times New Roman"/>
        </w:rPr>
        <w:t xml:space="preserve">s </w:t>
      </w:r>
      <w:r>
        <w:rPr>
          <w:rFonts w:cs="Times New Roman"/>
        </w:rPr>
        <w:t>M</w:t>
      </w:r>
      <w:r>
        <w:rPr>
          <w:rFonts w:hint="eastAsia" w:cs="Times New Roman"/>
        </w:rPr>
        <w:t>ember has properly handled all Tax Invoice-related matters for the overseas delivery against TSR 20 futures, the buyer</w:t>
      </w:r>
      <w:r>
        <w:rPr>
          <w:rFonts w:cs="Times New Roman"/>
        </w:rPr>
        <w:t>’</w:t>
      </w:r>
      <w:r>
        <w:rPr>
          <w:rFonts w:hint="eastAsia" w:cs="Times New Roman"/>
        </w:rPr>
        <w:t xml:space="preserve">s </w:t>
      </w:r>
      <w:r>
        <w:rPr>
          <w:rFonts w:cs="Times New Roman"/>
        </w:rPr>
        <w:t>M</w:t>
      </w:r>
      <w:r>
        <w:rPr>
          <w:rFonts w:hint="eastAsia" w:cs="Times New Roman"/>
        </w:rPr>
        <w:t xml:space="preserve">ember shall complete and submit the </w:t>
      </w:r>
      <w:r>
        <w:rPr>
          <w:rFonts w:cs="Times New Roman"/>
        </w:rPr>
        <w:t>“</w:t>
      </w:r>
      <w:r>
        <w:rPr>
          <w:rFonts w:hint="eastAsia" w:cs="Times New Roman"/>
        </w:rPr>
        <w:t>Tax Invoice Confirmation for Overseas Delivery</w:t>
      </w:r>
      <w:r>
        <w:rPr>
          <w:rFonts w:cs="Times New Roman"/>
        </w:rPr>
        <w:t>”</w:t>
      </w:r>
      <w:r>
        <w:rPr>
          <w:rFonts w:hint="eastAsia" w:cs="Times New Roman"/>
        </w:rPr>
        <w:t xml:space="preserve"> (see Annex 4) to the Exchange.</w:t>
      </w:r>
    </w:p>
    <w:p>
      <w:pPr>
        <w:snapToGrid w:val="0"/>
        <w:spacing w:after="240" w:afterLines="100"/>
        <w:rPr>
          <w:rFonts w:cs="Times New Roman"/>
        </w:rPr>
      </w:pPr>
      <w:r>
        <w:rPr>
          <w:rFonts w:hint="eastAsia" w:cs="Times New Roman"/>
        </w:rPr>
        <w:t>If the seller</w:t>
      </w:r>
      <w:r>
        <w:rPr>
          <w:rFonts w:cs="Times New Roman"/>
        </w:rPr>
        <w:t>’</w:t>
      </w:r>
      <w:r>
        <w:rPr>
          <w:rFonts w:hint="eastAsia" w:cs="Times New Roman"/>
        </w:rPr>
        <w:t xml:space="preserve">s </w:t>
      </w:r>
      <w:r>
        <w:rPr>
          <w:rFonts w:cs="Times New Roman"/>
        </w:rPr>
        <w:t>M</w:t>
      </w:r>
      <w:r>
        <w:rPr>
          <w:rFonts w:hint="eastAsia" w:cs="Times New Roman"/>
        </w:rPr>
        <w:t xml:space="preserve">ember has not completed the handling of Tax Invoice-related matters by 14:00 on the trading day following the completion of the EFP procedures, the Exchange shall, on the same day, collect a Tax Invoice margin of no less than 15% of the delivery settlement price of the contract for the corresponding delivery position. This margin shall be refunded after the Tax Invoice-related matters are settled and upon application and confirmation by the </w:t>
      </w:r>
      <w:r>
        <w:rPr>
          <w:rFonts w:cs="Times New Roman"/>
        </w:rPr>
        <w:t>M</w:t>
      </w:r>
      <w:r>
        <w:rPr>
          <w:rFonts w:hint="eastAsia" w:cs="Times New Roman"/>
        </w:rPr>
        <w:t>embers of both parties.</w:t>
      </w:r>
    </w:p>
    <w:p>
      <w:pPr>
        <w:snapToGrid w:val="0"/>
        <w:spacing w:after="240" w:afterLines="100"/>
        <w:rPr>
          <w:rFonts w:cs="Times New Roman"/>
        </w:rPr>
      </w:pPr>
      <w:r>
        <w:rPr>
          <w:rFonts w:hint="eastAsia" w:cs="Times New Roman"/>
        </w:rPr>
        <w:t>Other Tax Invoice</w:t>
      </w:r>
      <w:r>
        <w:rPr>
          <w:rFonts w:cs="Times New Roman"/>
        </w:rPr>
        <w:t xml:space="preserve">-related </w:t>
      </w:r>
      <w:r>
        <w:rPr>
          <w:rFonts w:hint="eastAsia" w:cs="Times New Roman"/>
        </w:rPr>
        <w:t xml:space="preserve">matters </w:t>
      </w:r>
      <w:r>
        <w:rPr>
          <w:rFonts w:cs="Times New Roman"/>
        </w:rPr>
        <w:t xml:space="preserve">not covered in these </w:t>
      </w:r>
      <w:r>
        <w:rPr>
          <w:rFonts w:cs="Times New Roman"/>
          <w:i/>
          <w:iCs/>
        </w:rPr>
        <w:t>Guidelines</w:t>
      </w:r>
      <w:r>
        <w:rPr>
          <w:rFonts w:hint="eastAsia" w:cs="Times New Roman"/>
        </w:rPr>
        <w:t xml:space="preserve">, such as dispute mediation and the handling of late fees and </w:t>
      </w:r>
      <w:r>
        <w:rPr>
          <w:rFonts w:cs="Times New Roman"/>
        </w:rPr>
        <w:t>liquidated damages</w:t>
      </w:r>
      <w:r>
        <w:rPr>
          <w:rFonts w:hint="eastAsia" w:cs="Times New Roman"/>
        </w:rPr>
        <w:t>, shall be governed by relevant provisions of Articles 1</w:t>
      </w:r>
      <w:r>
        <w:rPr>
          <w:rFonts w:hint="eastAsia" w:cs="Times New Roman"/>
          <w:lang w:eastAsia="zh"/>
        </w:rPr>
        <w:t>6</w:t>
      </w:r>
      <w:r>
        <w:rPr>
          <w:rFonts w:hint="eastAsia" w:cs="Times New Roman"/>
        </w:rPr>
        <w:t xml:space="preserve"> to 18 of these </w:t>
      </w:r>
      <w:r>
        <w:rPr>
          <w:rFonts w:hint="eastAsia" w:cs="Times New Roman"/>
          <w:i/>
          <w:iCs/>
        </w:rPr>
        <w:t>Guidelines</w:t>
      </w:r>
      <w:r>
        <w:rPr>
          <w:rFonts w:hint="eastAsia" w:cs="Times New Roman"/>
        </w:rPr>
        <w:t>.</w:t>
      </w:r>
    </w:p>
    <w:p>
      <w:pPr>
        <w:snapToGrid w:val="0"/>
        <w:spacing w:after="240" w:afterLines="100"/>
        <w:jc w:val="center"/>
        <w:rPr>
          <w:rFonts w:cs="Times New Roman"/>
          <w:b/>
          <w:bCs/>
        </w:rPr>
      </w:pPr>
      <w:r>
        <w:rPr>
          <w:rFonts w:hint="eastAsia" w:cs="Times New Roman"/>
          <w:b/>
          <w:bCs/>
        </w:rPr>
        <w:t>Chapter 5</w:t>
      </w:r>
      <w:r>
        <w:rPr>
          <w:rFonts w:cs="Times New Roman"/>
          <w:b/>
          <w:bCs/>
        </w:rPr>
        <w:tab/>
      </w:r>
      <w:r>
        <w:rPr>
          <w:rFonts w:hint="eastAsia" w:cs="Times New Roman"/>
          <w:b/>
          <w:bCs/>
        </w:rPr>
        <w:t>Prevention and Control of Risks and Supervision</w:t>
      </w:r>
    </w:p>
    <w:p>
      <w:pPr>
        <w:snapToGrid w:val="0"/>
        <w:spacing w:after="240" w:afterLines="100"/>
        <w:rPr>
          <w:rFonts w:cs="Times New Roman"/>
        </w:rPr>
      </w:pPr>
      <w:r>
        <w:rPr>
          <w:rFonts w:hint="eastAsia" w:cs="Times New Roman"/>
          <w:b/>
          <w:bCs/>
        </w:rPr>
        <w:t xml:space="preserve">Article 20 [Principles of Supervision] </w:t>
      </w:r>
      <w:r>
        <w:rPr>
          <w:rFonts w:hint="eastAsia" w:cs="Times New Roman"/>
        </w:rPr>
        <w:t xml:space="preserve">Receipts and payments for trade </w:t>
      </w:r>
      <w:r>
        <w:rPr>
          <w:rFonts w:cs="Times New Roman"/>
        </w:rPr>
        <w:t xml:space="preserve">in goods </w:t>
      </w:r>
      <w:r>
        <w:rPr>
          <w:rFonts w:hint="eastAsia" w:cs="Times New Roman"/>
        </w:rPr>
        <w:t>under overseas delivery against TSR 20 futures shall have authentic and lawful transactional basis. All related foreign exchange activities shall be subject to the supervision, administration, and inspection of the SAFE and its branches. Members, domestic traders, overseas traders, o</w:t>
      </w:r>
      <w:r>
        <w:rPr>
          <w:rFonts w:cs="Times New Roman"/>
        </w:rPr>
        <w:t xml:space="preserve">verseas </w:t>
      </w:r>
      <w:r>
        <w:rPr>
          <w:rFonts w:hint="eastAsia" w:cs="Times New Roman"/>
        </w:rPr>
        <w:t>b</w:t>
      </w:r>
      <w:r>
        <w:rPr>
          <w:rFonts w:cs="Times New Roman"/>
        </w:rPr>
        <w:t>rokers</w:t>
      </w:r>
      <w:r>
        <w:rPr>
          <w:rFonts w:hint="eastAsia" w:cs="Times New Roman"/>
        </w:rPr>
        <w:t xml:space="preserve">, and overseas </w:t>
      </w:r>
      <w:r>
        <w:rPr>
          <w:rFonts w:cs="Times New Roman"/>
        </w:rPr>
        <w:t>F</w:t>
      </w:r>
      <w:r>
        <w:rPr>
          <w:rFonts w:hint="eastAsia" w:cs="Times New Roman"/>
        </w:rPr>
        <w:t>actories participating in overseas delivery shall not construct fictitious transactions to transfer foreign exchange or evade foreign exchange supervision in any form.</w:t>
      </w:r>
    </w:p>
    <w:p>
      <w:pPr>
        <w:snapToGrid w:val="0"/>
        <w:spacing w:after="240" w:afterLines="100"/>
        <w:rPr>
          <w:rFonts w:cs="Times New Roman"/>
        </w:rPr>
      </w:pPr>
      <w:r>
        <w:rPr>
          <w:rFonts w:hint="eastAsia" w:cs="Times New Roman"/>
          <w:b/>
          <w:bCs/>
        </w:rPr>
        <w:t xml:space="preserve">Article 21 [Supervisory Obligations of Designated Depository Banks] </w:t>
      </w:r>
      <w:r>
        <w:rPr>
          <w:rFonts w:hint="eastAsia" w:cs="Times New Roman"/>
        </w:rPr>
        <w:t>Designated Depository Banks and processing banks shall strictly implement prudential business principles, conduct thorough due diligence reviews, and ensure proper declaration of information on international balance-of-payments and domestic fund transfers.</w:t>
      </w:r>
    </w:p>
    <w:p>
      <w:pPr>
        <w:snapToGrid w:val="0"/>
        <w:spacing w:after="240" w:afterLines="100"/>
        <w:rPr>
          <w:rFonts w:cs="Times New Roman"/>
        </w:rPr>
      </w:pPr>
      <w:r>
        <w:rPr>
          <w:rFonts w:hint="eastAsia" w:cs="Times New Roman"/>
        </w:rPr>
        <w:t xml:space="preserve">(1) Banks shall conduct authenticity and compliance reviews in accordance with the principles of </w:t>
      </w:r>
      <w:r>
        <w:rPr>
          <w:rFonts w:cs="Times New Roman"/>
        </w:rPr>
        <w:t>“</w:t>
      </w:r>
      <w:r>
        <w:rPr>
          <w:rFonts w:hint="eastAsia" w:cs="Times New Roman"/>
        </w:rPr>
        <w:t>Know Your Customer</w:t>
      </w:r>
      <w:r>
        <w:rPr>
          <w:rFonts w:cs="Times New Roman"/>
        </w:rPr>
        <w:t>,”</w:t>
      </w:r>
      <w:r>
        <w:rPr>
          <w:rFonts w:hint="eastAsia" w:cs="Times New Roman"/>
        </w:rPr>
        <w:t xml:space="preserve"> </w:t>
      </w:r>
      <w:r>
        <w:rPr>
          <w:rFonts w:cs="Times New Roman"/>
        </w:rPr>
        <w:t>“</w:t>
      </w:r>
      <w:r>
        <w:rPr>
          <w:rFonts w:hint="eastAsia" w:cs="Times New Roman"/>
        </w:rPr>
        <w:t>Know Your Business</w:t>
      </w:r>
      <w:r>
        <w:rPr>
          <w:rFonts w:cs="Times New Roman"/>
        </w:rPr>
        <w:t>,”</w:t>
      </w:r>
      <w:r>
        <w:rPr>
          <w:rFonts w:hint="eastAsia" w:cs="Times New Roman"/>
        </w:rPr>
        <w:t xml:space="preserve"> and due diligence and retain relevant transaction documents, customer due diligence </w:t>
      </w:r>
      <w:bookmarkStart w:id="1" w:name="OLE_LINK1"/>
      <w:r>
        <w:rPr>
          <w:rFonts w:hint="eastAsia" w:cs="Times New Roman"/>
        </w:rPr>
        <w:t>records</w:t>
      </w:r>
      <w:bookmarkEnd w:id="1"/>
      <w:r>
        <w:rPr>
          <w:rFonts w:hint="eastAsia" w:cs="Times New Roman"/>
        </w:rPr>
        <w:t xml:space="preserve">, post-transaction monitoring records, and other materials for five (5) years for future </w:t>
      </w:r>
      <w:r>
        <w:rPr>
          <w:rFonts w:cs="Times New Roman"/>
        </w:rPr>
        <w:t>examinations</w:t>
      </w:r>
      <w:r>
        <w:rPr>
          <w:rFonts w:hint="eastAsia" w:cs="Times New Roman"/>
        </w:rPr>
        <w:t>.</w:t>
      </w:r>
    </w:p>
    <w:p>
      <w:pPr>
        <w:snapToGrid w:val="0"/>
        <w:spacing w:after="240" w:afterLines="100"/>
        <w:rPr>
          <w:rFonts w:cs="Times New Roman"/>
        </w:rPr>
      </w:pPr>
      <w:r>
        <w:rPr>
          <w:rFonts w:hint="eastAsia" w:cs="Times New Roman"/>
        </w:rPr>
        <w:t xml:space="preserve">(2) Banks shall declare balance-of-payments information in accordance with the </w:t>
      </w:r>
      <w:r>
        <w:rPr>
          <w:rFonts w:cs="Times New Roman"/>
          <w:i/>
          <w:iCs/>
        </w:rPr>
        <w:t xml:space="preserve">Measures for the Declaration of </w:t>
      </w:r>
      <w:r>
        <w:rPr>
          <w:rFonts w:hint="eastAsia" w:cs="Times New Roman"/>
          <w:i/>
          <w:iCs/>
        </w:rPr>
        <w:t xml:space="preserve">International </w:t>
      </w:r>
      <w:bookmarkStart w:id="2" w:name="OLE_LINK8"/>
      <w:r>
        <w:rPr>
          <w:rFonts w:cs="Times New Roman"/>
          <w:i/>
          <w:iCs/>
        </w:rPr>
        <w:t>Balance-of-Payments</w:t>
      </w:r>
      <w:bookmarkEnd w:id="2"/>
      <w:r>
        <w:rPr>
          <w:rFonts w:cs="Times New Roman"/>
          <w:i/>
          <w:iCs/>
        </w:rPr>
        <w:t xml:space="preserve"> Statistics</w:t>
      </w:r>
      <w:r>
        <w:rPr>
          <w:rFonts w:hint="eastAsia" w:cs="Times New Roman"/>
        </w:rPr>
        <w:t xml:space="preserve"> and the specific declaration requirements for the overseas delivery against TSR 20 futures, complete the transaction remarks in a standardized manner, and ensure the accuracy of the declared information.</w:t>
      </w:r>
    </w:p>
    <w:p>
      <w:pPr>
        <w:snapToGrid w:val="0"/>
        <w:spacing w:after="240" w:afterLines="100"/>
        <w:rPr>
          <w:rFonts w:cs="Times New Roman"/>
        </w:rPr>
      </w:pPr>
      <w:r>
        <w:rPr>
          <w:rFonts w:hint="eastAsia" w:cs="Times New Roman"/>
        </w:rPr>
        <w:t>(3) To handle overseas deliveries against TSR 20 futures, Designated Depository Banks shall have in place specific internal management rules and schemes, including but not limited to internal controls, risk prevention and control measures, and data monitoring plans. Designated Depository Banks and processing banks shall supervise working capital and intercept abnormal transactions through in- and post-transaction screening. Any identified abnormal or suspicious transactions shall be promptly reported to the Exchange and the competent local SAFE branch (at the provincial or municipal level</w:t>
      </w:r>
      <w:r>
        <w:rPr>
          <w:rFonts w:cs="Times New Roman"/>
        </w:rPr>
        <w:t xml:space="preserve"> here and hereinafter</w:t>
      </w:r>
      <w:r>
        <w:rPr>
          <w:rFonts w:hint="eastAsia" w:cs="Times New Roman"/>
        </w:rPr>
        <w:t>).</w:t>
      </w:r>
    </w:p>
    <w:p>
      <w:pPr>
        <w:snapToGrid w:val="0"/>
        <w:spacing w:after="240" w:afterLines="100"/>
        <w:rPr>
          <w:rFonts w:cs="Times New Roman"/>
        </w:rPr>
      </w:pPr>
      <w:r>
        <w:rPr>
          <w:rFonts w:hint="eastAsia" w:cs="Times New Roman"/>
          <w:b/>
          <w:bCs/>
        </w:rPr>
        <w:t>Article 22 [Requirements for Authenticity Review]</w:t>
      </w:r>
      <w:r>
        <w:rPr>
          <w:rFonts w:hint="eastAsia" w:cs="Times New Roman"/>
        </w:rPr>
        <w:t xml:space="preserve"> A domestic trader, Non-FF Member, or other domestic entity involved in the resale of offshore goods participating in </w:t>
      </w:r>
      <w:bookmarkStart w:id="3" w:name="OLE_LINK2"/>
      <w:r>
        <w:rPr>
          <w:rFonts w:hint="eastAsia" w:cs="Times New Roman"/>
        </w:rPr>
        <w:t>the overseas delivery against TSR 20 futures</w:t>
      </w:r>
      <w:bookmarkEnd w:id="3"/>
      <w:r>
        <w:rPr>
          <w:rFonts w:hint="eastAsia" w:cs="Times New Roman"/>
        </w:rPr>
        <w:t xml:space="preserve"> shall, in principle, either ship the offshore goods back into China or repatriate the funds within 90 days, with a </w:t>
      </w:r>
      <w:bookmarkStart w:id="4" w:name="OLE_LINK7"/>
      <w:r>
        <w:rPr>
          <w:rFonts w:hint="eastAsia" w:cs="Times New Roman"/>
        </w:rPr>
        <w:t>buy-sell unit price deviation</w:t>
      </w:r>
      <w:bookmarkEnd w:id="4"/>
      <w:r>
        <w:rPr>
          <w:rFonts w:hint="eastAsia" w:cs="Times New Roman"/>
        </w:rPr>
        <w:t xml:space="preserve"> not exceeding</w:t>
      </w:r>
      <w:r>
        <w:rPr>
          <w:rFonts w:cs="Times New Roman"/>
        </w:rPr>
        <w:t xml:space="preserve"> ±</w:t>
      </w:r>
      <w:r>
        <w:rPr>
          <w:rFonts w:hint="eastAsia" w:cs="Times New Roman"/>
        </w:rPr>
        <w:t>30%</w:t>
      </w:r>
      <w:r>
        <w:rPr>
          <w:rStyle w:val="23"/>
          <w:rFonts w:cs="Times New Roman"/>
        </w:rPr>
        <w:footnoteReference w:id="0"/>
      </w:r>
      <w:r>
        <w:rPr>
          <w:rFonts w:hint="eastAsia" w:cs="Times New Roman"/>
        </w:rPr>
        <w:t xml:space="preserve">. Otherwise, the Exchange will, within five (5) business days of noticing such facts, order it to </w:t>
      </w:r>
      <w:r>
        <w:rPr>
          <w:rFonts w:cs="Times New Roman"/>
        </w:rPr>
        <w:t>withdraw</w:t>
      </w:r>
      <w:r>
        <w:rPr>
          <w:rFonts w:hint="eastAsia" w:cs="Times New Roman"/>
        </w:rPr>
        <w:t xml:space="preserve"> from the overseas delivery against TSR 20 futures, unless a reasonable explanation was provided.</w:t>
      </w:r>
    </w:p>
    <w:p>
      <w:pPr>
        <w:snapToGrid w:val="0"/>
        <w:spacing w:after="240" w:afterLines="100"/>
        <w:rPr>
          <w:rFonts w:cs="Times New Roman"/>
        </w:rPr>
      </w:pPr>
      <w:r>
        <w:rPr>
          <w:rFonts w:hint="eastAsia" w:cs="Times New Roman"/>
          <w:b/>
          <w:bCs/>
        </w:rPr>
        <w:t>Article 23 [</w:t>
      </w:r>
      <w:r>
        <w:rPr>
          <w:rFonts w:cs="Times New Roman"/>
          <w:b/>
          <w:bCs/>
        </w:rPr>
        <w:t xml:space="preserve">INE’s </w:t>
      </w:r>
      <w:r>
        <w:rPr>
          <w:rFonts w:hint="eastAsia" w:cs="Times New Roman"/>
          <w:b/>
          <w:bCs/>
        </w:rPr>
        <w:t>Supervisory Obligations]</w:t>
      </w:r>
      <w:r>
        <w:rPr>
          <w:rFonts w:hint="eastAsia" w:cs="Times New Roman"/>
        </w:rPr>
        <w:t xml:space="preserve"> In addition to regularly submitting the </w:t>
      </w:r>
      <w:r>
        <w:rPr>
          <w:rFonts w:hint="eastAsia" w:cs="Times New Roman"/>
          <w:i/>
          <w:iCs/>
        </w:rPr>
        <w:t>Monthly Report on Cross-border Delivery of the Shanghai International Energy Exchange</w:t>
      </w:r>
      <w:r>
        <w:rPr>
          <w:rFonts w:hint="eastAsia" w:cs="Times New Roman"/>
        </w:rPr>
        <w:t>, the Exchange shall fully collect detailed data on the participation of domestic traders or Non-FF Members in the overseas delivery. The Exchange shall also, within the first five (5) business days of each month, submit to the Shanghai Branch of SAFE the detailed information on the overseas delivery against TSR 20 futures for the previous month (see Annex 2 for details).</w:t>
      </w:r>
    </w:p>
    <w:p>
      <w:pPr>
        <w:snapToGrid w:val="0"/>
        <w:spacing w:after="240" w:afterLines="100"/>
        <w:rPr>
          <w:rFonts w:cs="Times New Roman"/>
        </w:rPr>
      </w:pPr>
      <w:r>
        <w:rPr>
          <w:rFonts w:hint="eastAsia" w:cs="Times New Roman"/>
        </w:rPr>
        <w:t xml:space="preserve">The Exchange may, in accordance with its supervisory </w:t>
      </w:r>
      <w:r>
        <w:rPr>
          <w:rFonts w:cs="Times New Roman"/>
        </w:rPr>
        <w:t>requirements</w:t>
      </w:r>
      <w:r>
        <w:rPr>
          <w:rFonts w:hint="eastAsia" w:cs="Times New Roman"/>
        </w:rPr>
        <w:t xml:space="preserve">, request Group Delivery Centers, </w:t>
      </w:r>
      <w:r>
        <w:rPr>
          <w:rFonts w:cs="Times New Roman"/>
        </w:rPr>
        <w:t>o</w:t>
      </w:r>
      <w:r>
        <w:rPr>
          <w:rFonts w:hint="eastAsia" w:cs="Times New Roman"/>
        </w:rPr>
        <w:t>verseas Factories, and other entities to provide information or materials with respect to relevant accounts, transactions, and funds, and to accept necessary inspections.</w:t>
      </w:r>
    </w:p>
    <w:p>
      <w:pPr>
        <w:snapToGrid w:val="0"/>
        <w:spacing w:after="240" w:afterLines="100"/>
        <w:rPr>
          <w:rFonts w:cs="Times New Roman"/>
        </w:rPr>
      </w:pPr>
      <w:r>
        <w:rPr>
          <w:rFonts w:hint="eastAsia" w:cs="Times New Roman"/>
          <w:b/>
          <w:bCs/>
        </w:rPr>
        <w:t>Article 24 [Special Requirements for Onshore Resale]</w:t>
      </w:r>
      <w:r>
        <w:rPr>
          <w:rFonts w:hint="eastAsia" w:cs="Times New Roman"/>
        </w:rPr>
        <w:t xml:space="preserve"> A domestic trader or </w:t>
      </w:r>
      <w:bookmarkStart w:id="5" w:name="OLE_LINK5"/>
      <w:r>
        <w:rPr>
          <w:rFonts w:hint="eastAsia" w:cs="Times New Roman"/>
        </w:rPr>
        <w:t>Non-FF Member</w:t>
      </w:r>
      <w:bookmarkEnd w:id="5"/>
      <w:r>
        <w:rPr>
          <w:rFonts w:hint="eastAsia" w:cs="Times New Roman"/>
        </w:rPr>
        <w:t xml:space="preserve"> shall, when reselling offshore </w:t>
      </w:r>
      <w:bookmarkStart w:id="6" w:name="OLE_LINK4"/>
      <w:r>
        <w:rPr>
          <w:rFonts w:hint="eastAsia" w:cs="Times New Roman"/>
        </w:rPr>
        <w:t xml:space="preserve">goods </w:t>
      </w:r>
      <w:bookmarkEnd w:id="6"/>
      <w:r>
        <w:rPr>
          <w:rFonts w:hint="eastAsia" w:cs="Times New Roman"/>
        </w:rPr>
        <w:t xml:space="preserve">to other domestic entities, inform its counterparties of their obligation to report the resale information to the Exchange and the competent local SAFE branch on a transaction-by-transaction basis. This reporting obligation extends to all domestic entities involved </w:t>
      </w:r>
      <w:r>
        <w:rPr>
          <w:rFonts w:cs="Times New Roman"/>
        </w:rPr>
        <w:t>in each</w:t>
      </w:r>
      <w:r>
        <w:rPr>
          <w:rFonts w:hint="eastAsia" w:cs="Times New Roman"/>
        </w:rPr>
        <w:t xml:space="preserve"> </w:t>
      </w:r>
      <w:r>
        <w:rPr>
          <w:rFonts w:cs="Times New Roman"/>
        </w:rPr>
        <w:t xml:space="preserve">subsequent </w:t>
      </w:r>
      <w:r>
        <w:rPr>
          <w:rFonts w:hint="eastAsia" w:cs="Times New Roman"/>
        </w:rPr>
        <w:t xml:space="preserve">resale </w:t>
      </w:r>
      <w:r>
        <w:rPr>
          <w:rFonts w:cs="Times New Roman"/>
        </w:rPr>
        <w:t xml:space="preserve">transaction </w:t>
      </w:r>
      <w:r>
        <w:rPr>
          <w:rFonts w:hint="eastAsia" w:cs="Times New Roman"/>
        </w:rPr>
        <w:t xml:space="preserve">until the goods are </w:t>
      </w:r>
      <w:r>
        <w:rPr>
          <w:rFonts w:cs="Times New Roman"/>
        </w:rPr>
        <w:t>ultimately</w:t>
      </w:r>
      <w:r>
        <w:rPr>
          <w:rFonts w:hint="eastAsia" w:cs="Times New Roman"/>
        </w:rPr>
        <w:t xml:space="preserve"> resold to an overseas entity or are </w:t>
      </w:r>
      <w:r>
        <w:rPr>
          <w:rFonts w:cs="Times New Roman"/>
        </w:rPr>
        <w:t>transported</w:t>
      </w:r>
      <w:r>
        <w:rPr>
          <w:rFonts w:hint="eastAsia" w:cs="Times New Roman"/>
        </w:rPr>
        <w:t xml:space="preserve"> into China</w:t>
      </w:r>
      <w:r>
        <w:rPr>
          <w:rFonts w:cs="Times New Roman"/>
        </w:rPr>
        <w:t xml:space="preserve"> following a declaration for import (or border entry)</w:t>
      </w:r>
      <w:r>
        <w:rPr>
          <w:rFonts w:hint="eastAsia" w:cs="Times New Roman"/>
        </w:rPr>
        <w:t>.</w:t>
      </w:r>
    </w:p>
    <w:p>
      <w:pPr>
        <w:snapToGrid w:val="0"/>
        <w:spacing w:after="240" w:afterLines="100"/>
        <w:rPr>
          <w:rFonts w:cs="Times New Roman"/>
        </w:rPr>
      </w:pPr>
      <w:r>
        <w:rPr>
          <w:rFonts w:hint="eastAsia" w:cs="Times New Roman"/>
        </w:rPr>
        <w:t xml:space="preserve">All domestic traders, Non-FF Member, and subsequent domestic entities participating in the resale shall report information on the offshore goods following the overseas delivery against TSR 20 futures to the Exchange and the competent local SAFE branch on a transaction-by-transaction basis (see Annex 3 for details). A reporting enterprise shall submit the information for the previous month within the first five (5) business days of each month. For a domestic trader or Non-FF Member who fails to fulfill the reporting obligation or to report within the </w:t>
      </w:r>
      <w:r>
        <w:rPr>
          <w:rFonts w:cs="Times New Roman"/>
        </w:rPr>
        <w:t>prescribed</w:t>
      </w:r>
      <w:r>
        <w:rPr>
          <w:rFonts w:hint="eastAsia" w:cs="Times New Roman"/>
        </w:rPr>
        <w:t xml:space="preserve"> time period, the Exchange may take such measures as suspending or revoking its business license, depending on the severity of the case. In the event of any violations, the Exchange may resolve them in accordance with the </w:t>
      </w:r>
      <w:r>
        <w:rPr>
          <w:rFonts w:cs="Times New Roman"/>
          <w:i/>
          <w:iCs/>
        </w:rPr>
        <w:t>Enforcement Rules of the Shanghai International Energy Exchange</w:t>
      </w:r>
      <w:r>
        <w:rPr>
          <w:rFonts w:hint="eastAsia" w:cs="Times New Roman"/>
        </w:rPr>
        <w:t xml:space="preserve"> and other applicable rules.</w:t>
      </w:r>
    </w:p>
    <w:p>
      <w:pPr>
        <w:snapToGrid w:val="0"/>
        <w:spacing w:after="240" w:afterLines="100"/>
        <w:jc w:val="center"/>
        <w:rPr>
          <w:rFonts w:cs="Times New Roman"/>
          <w:b/>
          <w:bCs/>
        </w:rPr>
      </w:pPr>
      <w:r>
        <w:rPr>
          <w:rFonts w:hint="eastAsia" w:cs="Times New Roman"/>
          <w:b/>
          <w:bCs/>
        </w:rPr>
        <w:t>Chapter 6</w:t>
      </w:r>
      <w:r>
        <w:rPr>
          <w:rFonts w:cs="Times New Roman"/>
          <w:b/>
          <w:bCs/>
        </w:rPr>
        <w:tab/>
      </w:r>
      <w:r>
        <w:rPr>
          <w:rFonts w:cs="Times New Roman"/>
          <w:b/>
          <w:bCs/>
        </w:rPr>
        <w:t>Miscellaneous</w:t>
      </w:r>
    </w:p>
    <w:p>
      <w:pPr>
        <w:snapToGrid w:val="0"/>
        <w:spacing w:after="240" w:afterLines="100"/>
        <w:rPr>
          <w:rFonts w:cs="Times New Roman"/>
        </w:rPr>
      </w:pPr>
      <w:r>
        <w:rPr>
          <w:rFonts w:hint="eastAsia" w:cs="Times New Roman"/>
          <w:b/>
          <w:bCs/>
        </w:rPr>
        <w:t>Article 25 [Interpretation]</w:t>
      </w:r>
      <w:r>
        <w:rPr>
          <w:rFonts w:hint="eastAsia" w:cs="Times New Roman"/>
        </w:rPr>
        <w:t xml:space="preserve"> </w:t>
      </w:r>
      <w:r>
        <w:rPr>
          <w:rFonts w:cs="Times New Roman"/>
        </w:rPr>
        <w:t xml:space="preserve">The Exchange reserves the right to interpret </w:t>
      </w:r>
      <w:bookmarkStart w:id="7" w:name="OLE_LINK3"/>
      <w:r>
        <w:rPr>
          <w:rFonts w:cs="Times New Roman"/>
        </w:rPr>
        <w:t>these</w:t>
      </w:r>
      <w:r>
        <w:rPr>
          <w:rFonts w:hint="eastAsia" w:cs="Times New Roman"/>
        </w:rPr>
        <w:t xml:space="preserve"> </w:t>
      </w:r>
      <w:r>
        <w:rPr>
          <w:rFonts w:hint="eastAsia" w:cs="Times New Roman"/>
          <w:i/>
          <w:iCs/>
        </w:rPr>
        <w:t>Guidelines</w:t>
      </w:r>
      <w:bookmarkEnd w:id="7"/>
      <w:r>
        <w:rPr>
          <w:rFonts w:cs="Times New Roman"/>
        </w:rPr>
        <w:t>.</w:t>
      </w:r>
      <w:r>
        <w:rPr>
          <w:rFonts w:hint="eastAsia" w:cs="Times New Roman"/>
        </w:rPr>
        <w:t xml:space="preserve"> </w:t>
      </w:r>
      <w:r>
        <w:rPr>
          <w:rFonts w:cs="Times New Roman"/>
        </w:rPr>
        <w:t xml:space="preserve">Any matters not </w:t>
      </w:r>
      <w:r>
        <w:rPr>
          <w:rFonts w:hint="eastAsia" w:cs="Times New Roman"/>
        </w:rPr>
        <w:t xml:space="preserve">covered </w:t>
      </w:r>
      <w:r>
        <w:rPr>
          <w:rFonts w:cs="Times New Roman"/>
        </w:rPr>
        <w:t>in these</w:t>
      </w:r>
      <w:r>
        <w:rPr>
          <w:rFonts w:hint="eastAsia" w:cs="Times New Roman"/>
        </w:rPr>
        <w:t xml:space="preserve"> </w:t>
      </w:r>
      <w:r>
        <w:rPr>
          <w:rFonts w:hint="eastAsia" w:cs="Times New Roman"/>
          <w:i/>
          <w:iCs/>
        </w:rPr>
        <w:t>Guidelines</w:t>
      </w:r>
      <w:r>
        <w:rPr>
          <w:rFonts w:cs="Times New Roman"/>
        </w:rPr>
        <w:t xml:space="preserve"> shall be governed by the </w:t>
      </w:r>
      <w:r>
        <w:rPr>
          <w:rFonts w:hint="eastAsia" w:cs="Times New Roman"/>
        </w:rPr>
        <w:t xml:space="preserve">relevant </w:t>
      </w:r>
      <w:r>
        <w:rPr>
          <w:rFonts w:cs="Times New Roman"/>
        </w:rPr>
        <w:t xml:space="preserve">rules of </w:t>
      </w:r>
      <w:r>
        <w:rPr>
          <w:rFonts w:hint="eastAsia" w:cs="Times New Roman"/>
        </w:rPr>
        <w:t>the Exchange</w:t>
      </w:r>
      <w:r>
        <w:rPr>
          <w:rFonts w:cs="Times New Roman"/>
        </w:rPr>
        <w:t>.</w:t>
      </w:r>
      <w:bookmarkStart w:id="10" w:name="_GoBack"/>
      <w:bookmarkEnd w:id="10"/>
    </w:p>
    <w:p>
      <w:pPr>
        <w:snapToGrid w:val="0"/>
        <w:spacing w:after="240" w:afterLines="100"/>
        <w:rPr>
          <w:rFonts w:cs="Times New Roman"/>
        </w:rPr>
      </w:pPr>
      <w:r>
        <w:rPr>
          <w:rFonts w:hint="eastAsia" w:cs="Times New Roman"/>
          <w:b/>
          <w:bCs/>
        </w:rPr>
        <w:t xml:space="preserve">Article 26 [Effective Date] </w:t>
      </w:r>
      <w:r>
        <w:rPr>
          <w:rFonts w:hint="eastAsia" w:cs="Times New Roman"/>
        </w:rPr>
        <w:t xml:space="preserve">These </w:t>
      </w:r>
      <w:r>
        <w:rPr>
          <w:rFonts w:hint="eastAsia" w:cs="Times New Roman"/>
          <w:i/>
          <w:iCs/>
        </w:rPr>
        <w:t>Guidelines</w:t>
      </w:r>
      <w:r>
        <w:rPr>
          <w:rFonts w:hint="eastAsia" w:cs="Times New Roman"/>
        </w:rPr>
        <w:t xml:space="preserve"> take effect on </w:t>
      </w:r>
      <w:r>
        <w:rPr>
          <w:rFonts w:hint="eastAsia" w:cs="Times New Roman"/>
          <w:lang w:val="en-US" w:eastAsia="zh-CN"/>
        </w:rPr>
        <w:t>July 25</w:t>
      </w:r>
      <w:r>
        <w:rPr>
          <w:rFonts w:hint="eastAsia" w:cs="Times New Roman"/>
        </w:rPr>
        <w:t>, 2026.</w:t>
      </w:r>
    </w:p>
    <w:p>
      <w:pPr>
        <w:rPr>
          <w:rFonts w:cs="Times New Roman"/>
        </w:rPr>
      </w:pPr>
      <w:r>
        <w:rPr>
          <w:rFonts w:cs="Times New Roman"/>
        </w:rPr>
        <w:br w:type="page"/>
      </w:r>
    </w:p>
    <w:p>
      <w:pPr>
        <w:snapToGrid w:val="0"/>
        <w:spacing w:after="240" w:afterLines="100"/>
        <w:rPr>
          <w:rFonts w:cs="Times New Roman"/>
        </w:rPr>
      </w:pPr>
      <w:r>
        <w:rPr>
          <w:rFonts w:cs="Times New Roman"/>
        </w:rPr>
        <w:t>Annex 1</w:t>
      </w:r>
    </w:p>
    <w:p>
      <w:pPr>
        <w:snapToGrid w:val="0"/>
        <w:spacing w:after="120" w:afterLines="50"/>
        <w:jc w:val="center"/>
      </w:pPr>
      <w:r>
        <w:t>Shanghai International Energy Exchange</w:t>
      </w:r>
    </w:p>
    <w:p>
      <w:pPr>
        <w:snapToGrid w:val="0"/>
        <w:spacing w:after="240" w:afterLines="100"/>
        <w:jc w:val="center"/>
        <w:rPr>
          <w:rFonts w:cs="Times New Roman"/>
          <w:b/>
          <w:bCs/>
          <w:sz w:val="28"/>
          <w:szCs w:val="28"/>
        </w:rPr>
      </w:pPr>
      <w:r>
        <w:rPr>
          <w:rFonts w:cs="Times New Roman"/>
          <w:b/>
          <w:bCs/>
          <w:sz w:val="28"/>
          <w:szCs w:val="28"/>
        </w:rPr>
        <w:t>Commitment Letter for Overseas Delivery</w:t>
      </w:r>
    </w:p>
    <w:p>
      <w:pPr>
        <w:snapToGrid w:val="0"/>
        <w:spacing w:after="240" w:afterLines="100"/>
      </w:pPr>
    </w:p>
    <w:p>
      <w:pPr>
        <w:snapToGrid w:val="0"/>
        <w:spacing w:after="240" w:afterLines="100"/>
      </w:pPr>
      <w:r>
        <w:t>To: Shanghai International Energy Exchange</w:t>
      </w:r>
      <w:r>
        <w:rPr>
          <w:rFonts w:hint="eastAsia"/>
        </w:rPr>
        <w:t xml:space="preserve"> (INE)</w:t>
      </w:r>
    </w:p>
    <w:p>
      <w:pPr>
        <w:snapToGrid w:val="0"/>
        <w:spacing w:after="240" w:afterLines="100"/>
        <w:rPr>
          <w:rFonts w:cs="Times New Roman"/>
        </w:rPr>
      </w:pPr>
      <w:r>
        <w:rPr>
          <w:rFonts w:cs="Times New Roman"/>
        </w:rPr>
        <w:t xml:space="preserve">We, </w:t>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rPr>
        <w:t xml:space="preserve"> (enterprise name and Organization Code), intend to apply to INE for engaging in the overseas delivery of TSR 20. For the overseas standard warrants for TSR 20 we obtain for delivery purposes, we intend to process bank-futures funds transfers and report information related to international balance of payments and domestic payments and receipts for the corresponding offshore TSR 20 through the </w:t>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rPr>
        <w:t xml:space="preserve"> branch (sub-branch) of </w:t>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rPr>
        <w:t xml:space="preserve"> (bank). We intend to engage in the following activities (check all that apply):</w:t>
      </w:r>
    </w:p>
    <w:p>
      <w:pPr>
        <w:snapToGrid w:val="0"/>
        <w:spacing w:after="240" w:afterLines="100"/>
        <w:ind w:left="360"/>
      </w:pPr>
      <w:r>
        <w:rPr/>
        <w:sym w:font="Wingdings 2" w:char="00A3"/>
      </w:r>
      <w:r>
        <w:tab/>
      </w:r>
      <w:r>
        <w:t xml:space="preserve">Bring goods </w:t>
      </w:r>
      <w:r>
        <w:rPr>
          <w:rFonts w:hint="eastAsia"/>
        </w:rPr>
        <w:t xml:space="preserve">into China </w:t>
      </w:r>
      <w:r>
        <w:t>through import (or border entry)</w:t>
      </w:r>
    </w:p>
    <w:p>
      <w:pPr>
        <w:snapToGrid w:val="0"/>
        <w:spacing w:after="240" w:afterLines="100"/>
        <w:ind w:left="360"/>
        <w:rPr>
          <w:rFonts w:cs="Times New Roman"/>
        </w:rPr>
      </w:pPr>
      <w:r>
        <w:rPr>
          <w:rFonts w:cs="Times New Roman"/>
        </w:rPr>
        <w:sym w:font="Wingdings 2" w:char="00A3"/>
      </w:r>
      <w:r>
        <w:rPr>
          <w:rFonts w:cs="Times New Roman"/>
        </w:rPr>
        <w:tab/>
      </w:r>
      <w:r>
        <w:rPr>
          <w:rFonts w:cs="Times New Roman"/>
        </w:rPr>
        <w:t>Re</w:t>
      </w:r>
      <w:r>
        <w:rPr>
          <w:rFonts w:hint="eastAsia" w:cs="Times New Roman"/>
        </w:rPr>
        <w:t>sell</w:t>
      </w:r>
      <w:r>
        <w:rPr>
          <w:rFonts w:cs="Times New Roman"/>
        </w:rPr>
        <w:t xml:space="preserve"> offshore goods to an overseas entity</w:t>
      </w:r>
    </w:p>
    <w:p>
      <w:pPr>
        <w:snapToGrid w:val="0"/>
        <w:spacing w:after="240" w:afterLines="100"/>
        <w:ind w:left="360"/>
      </w:pPr>
      <w:r>
        <w:rPr/>
        <w:sym w:font="Wingdings 2" w:char="00A3"/>
      </w:r>
      <w:r>
        <w:tab/>
      </w:r>
      <w:r>
        <w:rPr>
          <w:rFonts w:hint="eastAsia"/>
        </w:rPr>
        <w:t xml:space="preserve">Resell of offshore goods to another domestic </w:t>
      </w:r>
      <w:r>
        <w:t>entity</w:t>
      </w:r>
    </w:p>
    <w:p>
      <w:pPr>
        <w:snapToGrid w:val="0"/>
        <w:spacing w:after="240" w:afterLines="100"/>
        <w:ind w:left="360"/>
      </w:pPr>
      <w:r>
        <w:rPr/>
        <w:sym w:font="Wingdings 2" w:char="00A3"/>
      </w:r>
      <w:r>
        <w:tab/>
      </w:r>
      <w:r>
        <w:rPr>
          <w:rFonts w:hint="eastAsia"/>
        </w:rPr>
        <w:t>Other</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p>
    <w:p>
      <w:pPr>
        <w:snapToGrid w:val="0"/>
        <w:spacing w:after="240" w:afterLines="100"/>
      </w:pPr>
      <w:r>
        <w:t>We hereby make the following warranties and undertakings:</w:t>
      </w:r>
    </w:p>
    <w:p>
      <w:pPr>
        <w:snapToGrid w:val="0"/>
        <w:spacing w:after="240" w:afterLines="100"/>
        <w:ind w:left="720" w:hanging="360"/>
      </w:pPr>
      <w:r>
        <w:t>1.</w:t>
      </w:r>
      <w:r>
        <w:tab/>
      </w:r>
      <w:r>
        <w:t xml:space="preserve">All business activities we conduct </w:t>
      </w:r>
      <w:r>
        <w:rPr>
          <w:rFonts w:hint="eastAsia"/>
        </w:rPr>
        <w:t>are</w:t>
      </w:r>
      <w:r>
        <w:t xml:space="preserve"> in compliance with the laws, administrative regulations, and regulatory rules of the People’s Republic of China, and </w:t>
      </w:r>
      <w:r>
        <w:rPr>
          <w:rFonts w:hint="eastAsia"/>
        </w:rPr>
        <w:t>do</w:t>
      </w:r>
      <w:r>
        <w:t xml:space="preserve"> not involve money laundering, terrorist financing, tax evasion, or any other act that jeopardizes China’s risk prevention framework or disrupts its economy or financial market.</w:t>
      </w:r>
    </w:p>
    <w:p>
      <w:pPr>
        <w:snapToGrid w:val="0"/>
        <w:spacing w:after="240" w:afterLines="100"/>
        <w:ind w:left="720" w:hanging="360"/>
        <w:rPr>
          <w:rFonts w:cs="Times New Roman"/>
        </w:rPr>
      </w:pPr>
      <w:r>
        <w:rPr>
          <w:rFonts w:cs="Times New Roman"/>
        </w:rPr>
        <w:t>2.</w:t>
      </w:r>
      <w:r>
        <w:rPr>
          <w:rFonts w:cs="Times New Roman"/>
        </w:rPr>
        <w:tab/>
      </w:r>
      <w:r>
        <w:rPr>
          <w:rFonts w:cs="Times New Roman"/>
        </w:rPr>
        <w:t>We have maintained a strong record of integrity and legal compliance, with no history of irregular activities such as fabricated or fraudulent trade. We are classified as a Category A enterprise for purpose of foreign exchange administration for trade in goods, have not been subject to any penalties from the State Administration of Foreign Exchange (SAFE) or its competent local branch within the last three years, have a reasonable and stable payment-receipt structure, and have been reporting information on trade in goods and making truthful customs declarations in accordance with applicable regulations.</w:t>
      </w:r>
    </w:p>
    <w:p>
      <w:pPr>
        <w:snapToGrid w:val="0"/>
        <w:spacing w:after="240" w:afterLines="100"/>
        <w:ind w:left="720" w:hanging="360"/>
      </w:pPr>
      <w:r>
        <w:t>3.</w:t>
      </w:r>
      <w:r>
        <w:tab/>
      </w:r>
      <w:r>
        <w:t>We have a robust internal control system for managing payments and receipts related to trade in goods and services, with dedicated personnel assigned to manage the foreign exchange for those payments and receipts and the documentations thereof. We have established internal risk management and monitoring processes that allow us to substantiate the authenticity, coherence, and reasonableness of our trade-related payments, receipts, and transactions and ensure that a complete audit trail is maintained for all transactions.</w:t>
      </w:r>
    </w:p>
    <w:p>
      <w:pPr>
        <w:snapToGrid w:val="0"/>
        <w:spacing w:after="240" w:afterLines="100"/>
        <w:ind w:left="720" w:hanging="360"/>
        <w:rPr>
          <w:rFonts w:cs="Times New Roman"/>
        </w:rPr>
      </w:pPr>
      <w:r>
        <w:rPr>
          <w:rFonts w:cs="Times New Roman"/>
        </w:rPr>
        <w:t>4.</w:t>
      </w:r>
      <w:r>
        <w:rPr>
          <w:rFonts w:cs="Times New Roman"/>
        </w:rPr>
        <w:tab/>
      </w:r>
      <w:r>
        <w:rPr>
          <w:rFonts w:cs="Times New Roman"/>
        </w:rPr>
        <w:t>Following a self-assessment, we confirm that we meet the eligibility requirements for engaging in overseas delivery. We undertake that we will conduct all foreign exchange transactions lawfully and in accordance with national policies and rules; that all documents we submit will be true, lawful, and valid; and that we will actively cooperate with the administration, supervision, and inspection of INE, Designated Depository Banks, and SAFE.</w:t>
      </w:r>
    </w:p>
    <w:p>
      <w:pPr>
        <w:snapToGrid w:val="0"/>
        <w:spacing w:after="240" w:afterLines="100"/>
        <w:ind w:left="720" w:hanging="360"/>
      </w:pPr>
      <w:r>
        <w:t>5.</w:t>
      </w:r>
      <w:r>
        <w:tab/>
      </w:r>
      <w:r>
        <w:t xml:space="preserve">When reselling offshore goods obtained through delivery to another domestic entity, we will be responsible for informing the buyer of its obligation to report the resale </w:t>
      </w:r>
      <w:r>
        <w:rPr>
          <w:rFonts w:cs="Times New Roman"/>
        </w:rPr>
        <w:t>information to INE and the competent local SAFE branch on a transaction-by-transaction basis. This reporting obligation will extend to all domestic entities involved in each subsequent resale transaction until the said shipment of goods is ultimately resold to an overseas entity or is transported into the domestic territory following a declaration for import (or border entry). We undertake to report,</w:t>
      </w:r>
      <w:r>
        <w:t xml:space="preserve"> on a transaction-by-transaction basis, the status of the offshore goods from the previous month’s overseas delivery against TSR 20 futures </w:t>
      </w:r>
      <w:r>
        <w:rPr>
          <w:rFonts w:cs="Times New Roman"/>
        </w:rPr>
        <w:t>to INE and the competent local SAFE branch within the first five business days of each month (see the attached schedule for details).</w:t>
      </w:r>
    </w:p>
    <w:p>
      <w:pPr>
        <w:snapToGrid w:val="0"/>
        <w:spacing w:after="240" w:afterLines="100"/>
        <w:ind w:left="720" w:hanging="360"/>
      </w:pPr>
      <w:r>
        <w:t>6.</w:t>
      </w:r>
      <w:r>
        <w:tab/>
      </w:r>
      <w:r>
        <w:t>This Commitment Letter takes effect on the date it is signed and sealed.</w:t>
      </w:r>
    </w:p>
    <w:p>
      <w:pPr>
        <w:snapToGrid w:val="0"/>
        <w:spacing w:after="240" w:afterLines="100"/>
      </w:pPr>
    </w:p>
    <w:p>
      <w:pPr>
        <w:snapToGrid w:val="0"/>
        <w:spacing w:after="240" w:afterLines="100"/>
      </w:pPr>
    </w:p>
    <w:p>
      <w:pPr>
        <w:snapToGrid w:val="0"/>
        <w:spacing w:after="240" w:afterLines="100"/>
      </w:pPr>
      <w:r>
        <w:t>Submitted by:</w:t>
      </w:r>
    </w:p>
    <w:p>
      <w:pPr>
        <w:snapToGrid w:val="0"/>
        <w:spacing w:after="240" w:afterLines="100"/>
      </w:pPr>
      <w:r>
        <w:t>Telephone:</w:t>
      </w:r>
    </w:p>
    <w:p>
      <w:pPr>
        <w:snapToGrid w:val="0"/>
        <w:spacing w:after="240" w:afterLines="100"/>
      </w:pPr>
      <w:r>
        <w:t>Email:</w:t>
      </w:r>
    </w:p>
    <w:p>
      <w:pPr>
        <w:snapToGrid w:val="0"/>
        <w:spacing w:after="240" w:afterLines="100"/>
      </w:pPr>
    </w:p>
    <w:p>
      <w:pPr>
        <w:snapToGrid w:val="0"/>
        <w:spacing w:after="240" w:afterLines="100"/>
      </w:pPr>
    </w:p>
    <w:p>
      <w:pPr>
        <w:snapToGrid w:val="0"/>
        <w:spacing w:after="240" w:afterLines="100"/>
      </w:pPr>
      <w:r>
        <w:t>Enterprise (Official Seal):</w:t>
      </w:r>
    </w:p>
    <w:p>
      <w:pPr>
        <w:snapToGrid w:val="0"/>
        <w:spacing w:after="240" w:afterLines="100"/>
      </w:pPr>
      <w:r>
        <w:t>Legal Representative or Authorized Agent (Signature):</w:t>
      </w:r>
    </w:p>
    <w:p>
      <w:pPr>
        <w:snapToGrid w:val="0"/>
        <w:sectPr>
          <w:footerReference r:id="rId5" w:type="default"/>
          <w:pgSz w:w="11906" w:h="16838"/>
          <w:pgMar w:top="1440" w:right="1440" w:bottom="1440" w:left="1440" w:header="720" w:footer="720" w:gutter="0"/>
          <w:cols w:space="720" w:num="1"/>
          <w:docGrid w:linePitch="360" w:charSpace="0"/>
        </w:sectPr>
      </w:pPr>
    </w:p>
    <w:p>
      <w:pPr>
        <w:snapToGrid w:val="0"/>
        <w:spacing w:after="120" w:afterLines="50"/>
        <w:rPr>
          <w:sz w:val="20"/>
          <w:szCs w:val="20"/>
        </w:rPr>
      </w:pPr>
      <w:bookmarkStart w:id="8" w:name="_Hlk231144870"/>
      <w:r>
        <w:rPr>
          <w:sz w:val="20"/>
          <w:szCs w:val="20"/>
        </w:rPr>
        <w:t>Schedule:</w:t>
      </w:r>
    </w:p>
    <w:p>
      <w:pPr>
        <w:snapToGrid w:val="0"/>
        <w:spacing w:after="120" w:afterLines="50"/>
        <w:jc w:val="center"/>
        <w:rPr>
          <w:b/>
          <w:bCs/>
        </w:rPr>
      </w:pPr>
      <w:r>
        <w:rPr>
          <w:b/>
          <w:bCs/>
        </w:rPr>
        <w:t xml:space="preserve">Status of Offshore Goods Following </w:t>
      </w:r>
      <w:r>
        <w:rPr>
          <w:rFonts w:hint="eastAsia"/>
          <w:b/>
          <w:bCs/>
        </w:rPr>
        <w:t>Cross-border</w:t>
      </w:r>
      <w:r>
        <w:rPr>
          <w:b/>
          <w:bCs/>
        </w:rPr>
        <w:t xml:space="preserve"> Delivery Against TSR 20 Futures by Domestic Trader</w:t>
      </w:r>
    </w:p>
    <w:p>
      <w:pPr>
        <w:snapToGrid w:val="0"/>
        <w:spacing w:after="60"/>
        <w:rPr>
          <w:b/>
          <w:bCs/>
          <w:sz w:val="20"/>
          <w:szCs w:val="20"/>
        </w:rPr>
      </w:pPr>
      <w:bookmarkStart w:id="9" w:name="_Hlk231143791"/>
      <w:r>
        <w:rPr>
          <w:b/>
          <w:bCs/>
          <w:sz w:val="20"/>
          <w:szCs w:val="20"/>
        </w:rPr>
        <w:t xml:space="preserve">Reporting Date: </w:t>
      </w:r>
      <w:r>
        <w:rPr>
          <w:b/>
          <w:bCs/>
          <w:sz w:val="20"/>
          <w:szCs w:val="20"/>
          <w:u w:val="single"/>
        </w:rPr>
        <w:tab/>
      </w:r>
      <w:r>
        <w:rPr>
          <w:b/>
          <w:bCs/>
          <w:sz w:val="20"/>
          <w:szCs w:val="20"/>
          <w:u w:val="single"/>
        </w:rPr>
        <w:tab/>
      </w:r>
      <w:r>
        <w:rPr>
          <w:b/>
          <w:bCs/>
          <w:sz w:val="20"/>
          <w:szCs w:val="20"/>
        </w:rPr>
        <w:t xml:space="preserve"> (YYYY/MM)</w:t>
      </w:r>
      <w:r>
        <w:rPr>
          <w:b/>
          <w:bCs/>
          <w:sz w:val="20"/>
          <w:szCs w:val="20"/>
        </w:rPr>
        <w:tab/>
      </w:r>
      <w:r>
        <w:rPr>
          <w:b/>
          <w:bCs/>
          <w:sz w:val="20"/>
          <w:szCs w:val="20"/>
        </w:rPr>
        <w:tab/>
      </w:r>
      <w:r>
        <w:rPr>
          <w:b/>
          <w:bCs/>
          <w:sz w:val="20"/>
          <w:szCs w:val="20"/>
        </w:rPr>
        <w:tab/>
      </w:r>
      <w:r>
        <w:rPr>
          <w:b/>
          <w:bCs/>
          <w:sz w:val="20"/>
          <w:szCs w:val="20"/>
        </w:rPr>
        <w:t xml:space="preserve">Reporting Entity: </w:t>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p>
    <w:bookmarkEnd w:id="9"/>
    <w:tbl>
      <w:tblPr>
        <w:tblStyle w:val="20"/>
        <w:tblW w:w="15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9" w:type="dxa"/>
          <w:bottom w:w="0" w:type="dxa"/>
          <w:right w:w="29" w:type="dxa"/>
        </w:tblCellMar>
      </w:tblPr>
      <w:tblGrid>
        <w:gridCol w:w="499"/>
        <w:gridCol w:w="499"/>
        <w:gridCol w:w="499"/>
        <w:gridCol w:w="499"/>
        <w:gridCol w:w="499"/>
        <w:gridCol w:w="500"/>
        <w:gridCol w:w="499"/>
        <w:gridCol w:w="499"/>
        <w:gridCol w:w="499"/>
        <w:gridCol w:w="499"/>
        <w:gridCol w:w="500"/>
        <w:gridCol w:w="499"/>
        <w:gridCol w:w="499"/>
        <w:gridCol w:w="499"/>
        <w:gridCol w:w="499"/>
        <w:gridCol w:w="500"/>
        <w:gridCol w:w="499"/>
        <w:gridCol w:w="499"/>
        <w:gridCol w:w="499"/>
        <w:gridCol w:w="499"/>
        <w:gridCol w:w="500"/>
        <w:gridCol w:w="499"/>
        <w:gridCol w:w="499"/>
        <w:gridCol w:w="499"/>
        <w:gridCol w:w="499"/>
        <w:gridCol w:w="500"/>
        <w:gridCol w:w="499"/>
        <w:gridCol w:w="499"/>
        <w:gridCol w:w="499"/>
        <w:gridCol w:w="499"/>
        <w:gridCol w:w="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9" w:type="dxa"/>
            <w:vMerge w:val="restart"/>
            <w:shd w:val="clear" w:color="auto" w:fill="D9D9D9"/>
            <w:vAlign w:val="center"/>
          </w:tcPr>
          <w:p>
            <w:pPr>
              <w:snapToGrid w:val="0"/>
              <w:spacing w:line="240" w:lineRule="auto"/>
              <w:jc w:val="center"/>
              <w:rPr>
                <w:b/>
                <w:bCs/>
                <w:sz w:val="18"/>
                <w:szCs w:val="18"/>
              </w:rPr>
            </w:pPr>
            <w:r>
              <w:rPr>
                <w:b/>
                <w:bCs/>
                <w:sz w:val="18"/>
                <w:szCs w:val="18"/>
              </w:rPr>
              <w:t>No.</w:t>
            </w:r>
          </w:p>
        </w:tc>
        <w:tc>
          <w:tcPr>
            <w:tcW w:w="4992" w:type="dxa"/>
            <w:gridSpan w:val="10"/>
            <w:shd w:val="clear" w:color="auto" w:fill="D9D9D9"/>
            <w:vAlign w:val="center"/>
          </w:tcPr>
          <w:p>
            <w:pPr>
              <w:snapToGrid w:val="0"/>
              <w:spacing w:line="240" w:lineRule="auto"/>
              <w:jc w:val="center"/>
              <w:rPr>
                <w:b/>
                <w:bCs/>
                <w:sz w:val="18"/>
                <w:szCs w:val="18"/>
              </w:rPr>
            </w:pPr>
            <w:r>
              <w:rPr>
                <w:b/>
                <w:bCs/>
                <w:sz w:val="18"/>
                <w:szCs w:val="18"/>
              </w:rPr>
              <w:t>[A] To Be Filled Out by the Domestic Trader or Non-FF Member Participating in Cross-Border Delivery against TSR 20 Futures</w:t>
            </w:r>
          </w:p>
        </w:tc>
        <w:tc>
          <w:tcPr>
            <w:tcW w:w="2995" w:type="dxa"/>
            <w:gridSpan w:val="6"/>
            <w:shd w:val="clear" w:color="auto" w:fill="E2EFDA"/>
            <w:vAlign w:val="center"/>
          </w:tcPr>
          <w:p>
            <w:pPr>
              <w:snapToGrid w:val="0"/>
              <w:spacing w:line="240" w:lineRule="auto"/>
              <w:jc w:val="center"/>
              <w:rPr>
                <w:b/>
                <w:bCs/>
                <w:sz w:val="18"/>
                <w:szCs w:val="18"/>
              </w:rPr>
            </w:pPr>
            <w:r>
              <w:rPr>
                <w:b/>
                <w:bCs/>
                <w:sz w:val="18"/>
                <w:szCs w:val="18"/>
              </w:rPr>
              <w:t>[B] Required If Load-Out Destination is “Import (Border Entry) through Customs Declaration”</w:t>
            </w:r>
          </w:p>
        </w:tc>
        <w:tc>
          <w:tcPr>
            <w:tcW w:w="1997" w:type="dxa"/>
            <w:gridSpan w:val="4"/>
            <w:shd w:val="clear" w:color="auto" w:fill="DDEBF7"/>
            <w:vAlign w:val="center"/>
          </w:tcPr>
          <w:p>
            <w:pPr>
              <w:snapToGrid w:val="0"/>
              <w:spacing w:line="240" w:lineRule="auto"/>
              <w:jc w:val="center"/>
              <w:rPr>
                <w:b/>
                <w:bCs/>
                <w:sz w:val="18"/>
                <w:szCs w:val="18"/>
              </w:rPr>
            </w:pPr>
            <w:r>
              <w:rPr>
                <w:b/>
                <w:bCs/>
                <w:sz w:val="18"/>
                <w:szCs w:val="18"/>
              </w:rPr>
              <w:t>[C] Required If Load-Out Destination is “Overseas Resale”</w:t>
            </w:r>
          </w:p>
        </w:tc>
        <w:tc>
          <w:tcPr>
            <w:tcW w:w="4992" w:type="dxa"/>
            <w:gridSpan w:val="10"/>
            <w:shd w:val="clear" w:color="auto" w:fill="FFF2CC"/>
            <w:vAlign w:val="center"/>
          </w:tcPr>
          <w:p>
            <w:pPr>
              <w:snapToGrid w:val="0"/>
              <w:spacing w:line="240" w:lineRule="auto"/>
              <w:jc w:val="center"/>
              <w:rPr>
                <w:b/>
                <w:bCs/>
                <w:sz w:val="18"/>
                <w:szCs w:val="18"/>
              </w:rPr>
            </w:pPr>
            <w:r>
              <w:rPr>
                <w:b/>
                <w:bCs/>
                <w:sz w:val="18"/>
                <w:szCs w:val="18"/>
              </w:rPr>
              <w:t>[D] Required if Load-Out Destination is “Domestic Resale”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9" w:hRule="atLeast"/>
        </w:trPr>
        <w:tc>
          <w:tcPr>
            <w:tcW w:w="499" w:type="dxa"/>
            <w:vMerge w:val="continue"/>
            <w:shd w:val="clear" w:color="auto" w:fill="D9D9D9"/>
            <w:vAlign w:val="center"/>
          </w:tcPr>
          <w:p>
            <w:pPr>
              <w:snapToGrid w:val="0"/>
              <w:spacing w:line="240" w:lineRule="auto"/>
              <w:jc w:val="center"/>
              <w:rPr>
                <w:sz w:val="18"/>
                <w:szCs w:val="18"/>
              </w:rPr>
            </w:pPr>
          </w:p>
        </w:tc>
        <w:tc>
          <w:tcPr>
            <w:tcW w:w="499" w:type="dxa"/>
            <w:shd w:val="clear" w:color="auto" w:fill="D9D9D9"/>
            <w:textDirection w:val="btLr"/>
            <w:vAlign w:val="center"/>
          </w:tcPr>
          <w:p>
            <w:pPr>
              <w:snapToGrid w:val="0"/>
              <w:spacing w:line="216" w:lineRule="auto"/>
              <w:ind w:left="115" w:right="115"/>
              <w:jc w:val="center"/>
              <w:rPr>
                <w:sz w:val="16"/>
                <w:szCs w:val="16"/>
              </w:rPr>
            </w:pPr>
            <w:r>
              <w:rPr>
                <w:sz w:val="16"/>
                <w:szCs w:val="16"/>
              </w:rPr>
              <w:t>Enterprise Name</w:t>
            </w:r>
          </w:p>
        </w:tc>
        <w:tc>
          <w:tcPr>
            <w:tcW w:w="499" w:type="dxa"/>
            <w:shd w:val="clear" w:color="auto" w:fill="D9D9D9"/>
            <w:textDirection w:val="btLr"/>
            <w:vAlign w:val="center"/>
          </w:tcPr>
          <w:p>
            <w:pPr>
              <w:snapToGrid w:val="0"/>
              <w:spacing w:line="216" w:lineRule="auto"/>
              <w:ind w:left="115" w:right="115"/>
              <w:jc w:val="center"/>
              <w:rPr>
                <w:sz w:val="16"/>
                <w:szCs w:val="16"/>
              </w:rPr>
            </w:pPr>
            <w:r>
              <w:rPr>
                <w:sz w:val="16"/>
                <w:szCs w:val="16"/>
              </w:rPr>
              <w:t>Organization Code (9-digit)</w:t>
            </w:r>
          </w:p>
        </w:tc>
        <w:tc>
          <w:tcPr>
            <w:tcW w:w="499" w:type="dxa"/>
            <w:shd w:val="clear" w:color="auto" w:fill="D9D9D9"/>
            <w:textDirection w:val="btLr"/>
            <w:vAlign w:val="center"/>
          </w:tcPr>
          <w:p>
            <w:pPr>
              <w:snapToGrid w:val="0"/>
              <w:spacing w:line="216" w:lineRule="auto"/>
              <w:ind w:left="115" w:right="115"/>
              <w:jc w:val="center"/>
              <w:rPr>
                <w:sz w:val="16"/>
                <w:szCs w:val="16"/>
              </w:rPr>
            </w:pPr>
            <w:r>
              <w:rPr>
                <w:sz w:val="16"/>
                <w:szCs w:val="16"/>
              </w:rPr>
              <w:t>Local SAFE Branch</w:t>
            </w:r>
          </w:p>
        </w:tc>
        <w:tc>
          <w:tcPr>
            <w:tcW w:w="499" w:type="dxa"/>
            <w:shd w:val="clear" w:color="auto" w:fill="D9D9D9"/>
            <w:textDirection w:val="btLr"/>
            <w:vAlign w:val="center"/>
          </w:tcPr>
          <w:p>
            <w:pPr>
              <w:snapToGrid w:val="0"/>
              <w:spacing w:line="216" w:lineRule="auto"/>
              <w:ind w:left="115" w:right="115"/>
              <w:jc w:val="center"/>
              <w:rPr>
                <w:sz w:val="16"/>
                <w:szCs w:val="16"/>
              </w:rPr>
            </w:pPr>
            <w:r>
              <w:rPr>
                <w:sz w:val="16"/>
                <w:szCs w:val="16"/>
              </w:rPr>
              <w:t>Cross-Border Delivery Settlement Statement No.</w:t>
            </w:r>
          </w:p>
        </w:tc>
        <w:tc>
          <w:tcPr>
            <w:tcW w:w="500" w:type="dxa"/>
            <w:shd w:val="clear" w:color="auto" w:fill="D9D9D9"/>
            <w:textDirection w:val="btLr"/>
            <w:vAlign w:val="center"/>
          </w:tcPr>
          <w:p>
            <w:pPr>
              <w:snapToGrid w:val="0"/>
              <w:spacing w:line="216" w:lineRule="auto"/>
              <w:ind w:left="115" w:right="115"/>
              <w:jc w:val="center"/>
              <w:rPr>
                <w:sz w:val="16"/>
                <w:szCs w:val="16"/>
              </w:rPr>
            </w:pPr>
            <w:r>
              <w:rPr>
                <w:sz w:val="16"/>
                <w:szCs w:val="16"/>
              </w:rPr>
              <w:t>Delivery Quantity (metric ton)</w:t>
            </w:r>
          </w:p>
        </w:tc>
        <w:tc>
          <w:tcPr>
            <w:tcW w:w="499" w:type="dxa"/>
            <w:shd w:val="clear" w:color="auto" w:fill="D9D9D9"/>
            <w:textDirection w:val="btLr"/>
            <w:vAlign w:val="center"/>
          </w:tcPr>
          <w:p>
            <w:pPr>
              <w:snapToGrid w:val="0"/>
              <w:spacing w:line="216" w:lineRule="auto"/>
              <w:ind w:left="115" w:right="115"/>
              <w:jc w:val="center"/>
              <w:rPr>
                <w:sz w:val="16"/>
                <w:szCs w:val="16"/>
              </w:rPr>
            </w:pPr>
            <w:r>
              <w:rPr>
                <w:sz w:val="16"/>
                <w:szCs w:val="16"/>
              </w:rPr>
              <w:t>Unit Price (RMB yuan)</w:t>
            </w:r>
          </w:p>
        </w:tc>
        <w:tc>
          <w:tcPr>
            <w:tcW w:w="499" w:type="dxa"/>
            <w:shd w:val="clear" w:color="auto" w:fill="D9D9D9"/>
            <w:textDirection w:val="btLr"/>
            <w:vAlign w:val="center"/>
          </w:tcPr>
          <w:p>
            <w:pPr>
              <w:snapToGrid w:val="0"/>
              <w:spacing w:line="216" w:lineRule="auto"/>
              <w:ind w:left="115" w:right="115"/>
              <w:jc w:val="center"/>
              <w:rPr>
                <w:sz w:val="16"/>
                <w:szCs w:val="16"/>
              </w:rPr>
            </w:pPr>
            <w:r>
              <w:rPr>
                <w:sz w:val="16"/>
                <w:szCs w:val="16"/>
              </w:rPr>
              <w:t>Current Load-Out Quantity (metric ton)</w:t>
            </w:r>
          </w:p>
        </w:tc>
        <w:tc>
          <w:tcPr>
            <w:tcW w:w="499" w:type="dxa"/>
            <w:shd w:val="clear" w:color="auto" w:fill="D9D9D9"/>
            <w:textDirection w:val="btLr"/>
            <w:vAlign w:val="center"/>
          </w:tcPr>
          <w:p>
            <w:pPr>
              <w:snapToGrid w:val="0"/>
              <w:spacing w:line="216" w:lineRule="auto"/>
              <w:ind w:left="115" w:right="115"/>
              <w:jc w:val="center"/>
              <w:rPr>
                <w:sz w:val="16"/>
                <w:szCs w:val="16"/>
              </w:rPr>
            </w:pPr>
            <w:r>
              <w:rPr>
                <w:sz w:val="16"/>
                <w:szCs w:val="16"/>
              </w:rPr>
              <w:t>Load-Out Destination (“Import (Border Entry) through Customs Declaration” or “Overseas Resale” or “Domestic Resale”)</w:t>
            </w:r>
          </w:p>
        </w:tc>
        <w:tc>
          <w:tcPr>
            <w:tcW w:w="499" w:type="dxa"/>
            <w:shd w:val="clear" w:color="auto" w:fill="D9D9D9"/>
            <w:textDirection w:val="btLr"/>
            <w:vAlign w:val="center"/>
          </w:tcPr>
          <w:p>
            <w:pPr>
              <w:snapToGrid w:val="0"/>
              <w:spacing w:line="216" w:lineRule="auto"/>
              <w:ind w:left="115" w:right="115"/>
              <w:jc w:val="center"/>
              <w:rPr>
                <w:sz w:val="16"/>
                <w:szCs w:val="16"/>
              </w:rPr>
            </w:pPr>
            <w:r>
              <w:rPr>
                <w:sz w:val="16"/>
                <w:szCs w:val="16"/>
              </w:rPr>
              <w:t>Cumulative Load-Out Quantity (metric ton)</w:t>
            </w:r>
          </w:p>
        </w:tc>
        <w:tc>
          <w:tcPr>
            <w:tcW w:w="500" w:type="dxa"/>
            <w:shd w:val="clear" w:color="auto" w:fill="D9D9D9"/>
            <w:textDirection w:val="btLr"/>
            <w:vAlign w:val="center"/>
          </w:tcPr>
          <w:p>
            <w:pPr>
              <w:snapToGrid w:val="0"/>
              <w:spacing w:line="216" w:lineRule="auto"/>
              <w:ind w:left="115" w:right="115"/>
              <w:jc w:val="center"/>
              <w:rPr>
                <w:sz w:val="16"/>
                <w:szCs w:val="16"/>
              </w:rPr>
            </w:pPr>
            <w:r>
              <w:rPr>
                <w:sz w:val="16"/>
                <w:szCs w:val="16"/>
              </w:rPr>
              <w:t>Remaining Quantity (metric ton)</w:t>
            </w:r>
          </w:p>
        </w:tc>
        <w:tc>
          <w:tcPr>
            <w:tcW w:w="499" w:type="dxa"/>
            <w:shd w:val="clear" w:color="auto" w:fill="E2EFDA"/>
            <w:textDirection w:val="btLr"/>
            <w:vAlign w:val="center"/>
          </w:tcPr>
          <w:p>
            <w:pPr>
              <w:snapToGrid w:val="0"/>
              <w:spacing w:line="216" w:lineRule="auto"/>
              <w:ind w:left="115" w:right="115"/>
              <w:jc w:val="center"/>
              <w:rPr>
                <w:sz w:val="16"/>
                <w:szCs w:val="16"/>
              </w:rPr>
            </w:pPr>
            <w:r>
              <w:rPr>
                <w:sz w:val="16"/>
                <w:szCs w:val="16"/>
              </w:rPr>
              <w:t>Import / Border Entry Date (YYYY-MM-DD)</w:t>
            </w:r>
          </w:p>
        </w:tc>
        <w:tc>
          <w:tcPr>
            <w:tcW w:w="499" w:type="dxa"/>
            <w:shd w:val="clear" w:color="auto" w:fill="E2EFDA"/>
            <w:textDirection w:val="btLr"/>
            <w:vAlign w:val="center"/>
          </w:tcPr>
          <w:p>
            <w:pPr>
              <w:snapToGrid w:val="0"/>
              <w:spacing w:line="216" w:lineRule="auto"/>
              <w:ind w:left="115" w:right="115"/>
              <w:jc w:val="center"/>
              <w:rPr>
                <w:sz w:val="16"/>
                <w:szCs w:val="16"/>
              </w:rPr>
            </w:pPr>
            <w:r>
              <w:rPr>
                <w:sz w:val="16"/>
                <w:szCs w:val="16"/>
              </w:rPr>
              <w:t>Quantity (metric ton)</w:t>
            </w:r>
          </w:p>
        </w:tc>
        <w:tc>
          <w:tcPr>
            <w:tcW w:w="499" w:type="dxa"/>
            <w:shd w:val="clear" w:color="auto" w:fill="E2EFDA"/>
            <w:textDirection w:val="btLr"/>
            <w:vAlign w:val="center"/>
          </w:tcPr>
          <w:p>
            <w:pPr>
              <w:snapToGrid w:val="0"/>
              <w:spacing w:line="216" w:lineRule="auto"/>
              <w:ind w:left="115" w:right="115"/>
              <w:jc w:val="center"/>
              <w:rPr>
                <w:sz w:val="16"/>
                <w:szCs w:val="16"/>
              </w:rPr>
            </w:pPr>
            <w:r>
              <w:rPr>
                <w:sz w:val="16"/>
                <w:szCs w:val="16"/>
              </w:rPr>
              <w:t>Unit Price (RMB yuan)</w:t>
            </w:r>
          </w:p>
        </w:tc>
        <w:tc>
          <w:tcPr>
            <w:tcW w:w="499" w:type="dxa"/>
            <w:shd w:val="clear" w:color="auto" w:fill="E2EFDA"/>
            <w:textDirection w:val="btLr"/>
            <w:vAlign w:val="center"/>
          </w:tcPr>
          <w:p>
            <w:pPr>
              <w:snapToGrid w:val="0"/>
              <w:spacing w:line="216" w:lineRule="auto"/>
              <w:ind w:left="115" w:right="115"/>
              <w:jc w:val="center"/>
              <w:rPr>
                <w:sz w:val="16"/>
                <w:szCs w:val="16"/>
              </w:rPr>
            </w:pPr>
            <w:r>
              <w:rPr>
                <w:sz w:val="16"/>
                <w:szCs w:val="16"/>
              </w:rPr>
              <w:t>Declarant’s Name</w:t>
            </w:r>
          </w:p>
        </w:tc>
        <w:tc>
          <w:tcPr>
            <w:tcW w:w="500" w:type="dxa"/>
            <w:shd w:val="clear" w:color="auto" w:fill="E2EFDA"/>
            <w:textDirection w:val="btLr"/>
            <w:vAlign w:val="center"/>
          </w:tcPr>
          <w:p>
            <w:pPr>
              <w:snapToGrid w:val="0"/>
              <w:spacing w:line="216" w:lineRule="auto"/>
              <w:ind w:left="115" w:right="115"/>
              <w:jc w:val="center"/>
              <w:rPr>
                <w:sz w:val="16"/>
                <w:szCs w:val="16"/>
              </w:rPr>
            </w:pPr>
            <w:r>
              <w:rPr>
                <w:sz w:val="16"/>
                <w:szCs w:val="16"/>
              </w:rPr>
              <w:t>Declarant’s Organization Code (9-digit)</w:t>
            </w:r>
          </w:p>
        </w:tc>
        <w:tc>
          <w:tcPr>
            <w:tcW w:w="499" w:type="dxa"/>
            <w:shd w:val="clear" w:color="auto" w:fill="E2EFDA"/>
            <w:textDirection w:val="btLr"/>
            <w:vAlign w:val="center"/>
          </w:tcPr>
          <w:p>
            <w:pPr>
              <w:snapToGrid w:val="0"/>
              <w:spacing w:line="216" w:lineRule="auto"/>
              <w:ind w:left="115" w:right="115"/>
              <w:jc w:val="center"/>
              <w:rPr>
                <w:sz w:val="16"/>
                <w:szCs w:val="16"/>
              </w:rPr>
            </w:pPr>
            <w:r>
              <w:rPr>
                <w:sz w:val="16"/>
                <w:szCs w:val="16"/>
              </w:rPr>
              <w:t>Customs Document No.</w:t>
            </w:r>
          </w:p>
        </w:tc>
        <w:tc>
          <w:tcPr>
            <w:tcW w:w="499" w:type="dxa"/>
            <w:shd w:val="clear" w:color="auto" w:fill="DDEBF7"/>
            <w:textDirection w:val="btLr"/>
            <w:vAlign w:val="center"/>
          </w:tcPr>
          <w:p>
            <w:pPr>
              <w:snapToGrid w:val="0"/>
              <w:spacing w:line="216" w:lineRule="auto"/>
              <w:ind w:left="115" w:right="115"/>
              <w:jc w:val="center"/>
              <w:rPr>
                <w:sz w:val="16"/>
                <w:szCs w:val="16"/>
              </w:rPr>
            </w:pPr>
            <w:r>
              <w:rPr>
                <w:sz w:val="16"/>
                <w:szCs w:val="16"/>
              </w:rPr>
              <w:t>Resale Date (YYYY-MM-DD)</w:t>
            </w:r>
          </w:p>
        </w:tc>
        <w:tc>
          <w:tcPr>
            <w:tcW w:w="499" w:type="dxa"/>
            <w:shd w:val="clear" w:color="auto" w:fill="DDEBF7"/>
            <w:textDirection w:val="btLr"/>
            <w:vAlign w:val="center"/>
          </w:tcPr>
          <w:p>
            <w:pPr>
              <w:snapToGrid w:val="0"/>
              <w:spacing w:line="216" w:lineRule="auto"/>
              <w:ind w:left="115" w:right="115"/>
              <w:jc w:val="center"/>
              <w:rPr>
                <w:sz w:val="16"/>
                <w:szCs w:val="16"/>
              </w:rPr>
            </w:pPr>
            <w:r>
              <w:rPr>
                <w:sz w:val="16"/>
                <w:szCs w:val="16"/>
              </w:rPr>
              <w:t>Resale Quantity (metric ton)</w:t>
            </w:r>
          </w:p>
        </w:tc>
        <w:tc>
          <w:tcPr>
            <w:tcW w:w="499" w:type="dxa"/>
            <w:shd w:val="clear" w:color="auto" w:fill="DDEBF7"/>
            <w:textDirection w:val="btLr"/>
            <w:vAlign w:val="center"/>
          </w:tcPr>
          <w:p>
            <w:pPr>
              <w:snapToGrid w:val="0"/>
              <w:spacing w:line="216" w:lineRule="auto"/>
              <w:ind w:left="115" w:right="115"/>
              <w:jc w:val="center"/>
              <w:rPr>
                <w:sz w:val="16"/>
                <w:szCs w:val="16"/>
              </w:rPr>
            </w:pPr>
            <w:r>
              <w:rPr>
                <w:sz w:val="16"/>
                <w:szCs w:val="16"/>
              </w:rPr>
              <w:t>Resale Unit Price (RMB yuan)</w:t>
            </w:r>
          </w:p>
        </w:tc>
        <w:tc>
          <w:tcPr>
            <w:tcW w:w="500" w:type="dxa"/>
            <w:shd w:val="clear" w:color="auto" w:fill="DDEBF7"/>
            <w:textDirection w:val="btLr"/>
            <w:vAlign w:val="center"/>
          </w:tcPr>
          <w:p>
            <w:pPr>
              <w:snapToGrid w:val="0"/>
              <w:spacing w:line="216" w:lineRule="auto"/>
              <w:ind w:left="115" w:right="115"/>
              <w:jc w:val="center"/>
              <w:rPr>
                <w:sz w:val="16"/>
                <w:szCs w:val="16"/>
              </w:rPr>
            </w:pPr>
            <w:r>
              <w:rPr>
                <w:sz w:val="16"/>
                <w:szCs w:val="16"/>
              </w:rPr>
              <w:t xml:space="preserve">International Payments and Receipts Filing No. for Resale Proceeds </w:t>
            </w:r>
          </w:p>
        </w:tc>
        <w:tc>
          <w:tcPr>
            <w:tcW w:w="499" w:type="dxa"/>
            <w:shd w:val="clear" w:color="auto" w:fill="FFF2CC"/>
            <w:textDirection w:val="btLr"/>
            <w:vAlign w:val="center"/>
          </w:tcPr>
          <w:p>
            <w:pPr>
              <w:snapToGrid w:val="0"/>
              <w:spacing w:line="216" w:lineRule="auto"/>
              <w:ind w:left="115" w:right="115"/>
              <w:jc w:val="center"/>
              <w:rPr>
                <w:sz w:val="16"/>
                <w:szCs w:val="16"/>
              </w:rPr>
            </w:pPr>
            <w:r>
              <w:rPr>
                <w:sz w:val="16"/>
                <w:szCs w:val="16"/>
              </w:rPr>
              <w:t>Seller’s Name</w:t>
            </w:r>
          </w:p>
        </w:tc>
        <w:tc>
          <w:tcPr>
            <w:tcW w:w="499" w:type="dxa"/>
            <w:shd w:val="clear" w:color="auto" w:fill="FFF2CC"/>
            <w:textDirection w:val="btLr"/>
            <w:vAlign w:val="center"/>
          </w:tcPr>
          <w:p>
            <w:pPr>
              <w:snapToGrid w:val="0"/>
              <w:spacing w:line="216" w:lineRule="auto"/>
              <w:ind w:left="115" w:right="115"/>
              <w:jc w:val="center"/>
              <w:rPr>
                <w:sz w:val="16"/>
                <w:szCs w:val="16"/>
              </w:rPr>
            </w:pPr>
            <w:r>
              <w:rPr>
                <w:sz w:val="16"/>
                <w:szCs w:val="16"/>
              </w:rPr>
              <w:t>Seller’s Organization Code (9-digit)</w:t>
            </w:r>
          </w:p>
        </w:tc>
        <w:tc>
          <w:tcPr>
            <w:tcW w:w="499" w:type="dxa"/>
            <w:shd w:val="clear" w:color="auto" w:fill="FFF2CC"/>
            <w:textDirection w:val="btLr"/>
            <w:vAlign w:val="center"/>
          </w:tcPr>
          <w:p>
            <w:pPr>
              <w:snapToGrid w:val="0"/>
              <w:spacing w:line="216" w:lineRule="auto"/>
              <w:ind w:left="115" w:right="115"/>
              <w:jc w:val="center"/>
              <w:rPr>
                <w:sz w:val="16"/>
                <w:szCs w:val="16"/>
              </w:rPr>
            </w:pPr>
            <w:r>
              <w:rPr>
                <w:sz w:val="16"/>
                <w:szCs w:val="16"/>
              </w:rPr>
              <w:t>Seller’s Local SAFE Branch</w:t>
            </w:r>
          </w:p>
        </w:tc>
        <w:tc>
          <w:tcPr>
            <w:tcW w:w="499" w:type="dxa"/>
            <w:shd w:val="clear" w:color="auto" w:fill="FFF2CC"/>
            <w:textDirection w:val="btLr"/>
            <w:vAlign w:val="center"/>
          </w:tcPr>
          <w:p>
            <w:pPr>
              <w:snapToGrid w:val="0"/>
              <w:spacing w:line="216" w:lineRule="auto"/>
              <w:ind w:left="115" w:right="115"/>
              <w:jc w:val="center"/>
              <w:rPr>
                <w:sz w:val="16"/>
                <w:szCs w:val="16"/>
              </w:rPr>
            </w:pPr>
            <w:r>
              <w:rPr>
                <w:sz w:val="16"/>
                <w:szCs w:val="16"/>
              </w:rPr>
              <w:t>Resale Date (YYYY-MM-DD)</w:t>
            </w:r>
          </w:p>
        </w:tc>
        <w:tc>
          <w:tcPr>
            <w:tcW w:w="500" w:type="dxa"/>
            <w:shd w:val="clear" w:color="auto" w:fill="FFF2CC"/>
            <w:textDirection w:val="btLr"/>
            <w:vAlign w:val="center"/>
          </w:tcPr>
          <w:p>
            <w:pPr>
              <w:snapToGrid w:val="0"/>
              <w:spacing w:line="216" w:lineRule="auto"/>
              <w:ind w:left="115" w:right="115"/>
              <w:jc w:val="center"/>
              <w:rPr>
                <w:sz w:val="16"/>
                <w:szCs w:val="16"/>
              </w:rPr>
            </w:pPr>
            <w:r>
              <w:rPr>
                <w:sz w:val="16"/>
                <w:szCs w:val="16"/>
              </w:rPr>
              <w:t>Resale Quantity (metric ton)</w:t>
            </w:r>
          </w:p>
        </w:tc>
        <w:tc>
          <w:tcPr>
            <w:tcW w:w="499" w:type="dxa"/>
            <w:shd w:val="clear" w:color="auto" w:fill="FFF2CC"/>
            <w:textDirection w:val="btLr"/>
            <w:vAlign w:val="center"/>
          </w:tcPr>
          <w:p>
            <w:pPr>
              <w:snapToGrid w:val="0"/>
              <w:spacing w:line="216" w:lineRule="auto"/>
              <w:ind w:left="115" w:right="115"/>
              <w:jc w:val="center"/>
              <w:rPr>
                <w:sz w:val="16"/>
                <w:szCs w:val="16"/>
              </w:rPr>
            </w:pPr>
            <w:r>
              <w:rPr>
                <w:sz w:val="16"/>
                <w:szCs w:val="16"/>
              </w:rPr>
              <w:t>Resale Unit Price (RMB yuan)</w:t>
            </w:r>
          </w:p>
        </w:tc>
        <w:tc>
          <w:tcPr>
            <w:tcW w:w="499" w:type="dxa"/>
            <w:shd w:val="clear" w:color="auto" w:fill="FFF2CC"/>
            <w:textDirection w:val="btLr"/>
            <w:vAlign w:val="center"/>
          </w:tcPr>
          <w:p>
            <w:pPr>
              <w:snapToGrid w:val="0"/>
              <w:spacing w:line="216" w:lineRule="auto"/>
              <w:ind w:left="115" w:right="115"/>
              <w:jc w:val="center"/>
              <w:rPr>
                <w:sz w:val="16"/>
                <w:szCs w:val="16"/>
              </w:rPr>
            </w:pPr>
            <w:r>
              <w:rPr>
                <w:sz w:val="16"/>
                <w:szCs w:val="16"/>
              </w:rPr>
              <w:t>Buyer’s Name</w:t>
            </w:r>
          </w:p>
        </w:tc>
        <w:tc>
          <w:tcPr>
            <w:tcW w:w="499" w:type="dxa"/>
            <w:shd w:val="clear" w:color="auto" w:fill="FFF2CC"/>
            <w:textDirection w:val="btLr"/>
            <w:vAlign w:val="center"/>
          </w:tcPr>
          <w:p>
            <w:pPr>
              <w:snapToGrid w:val="0"/>
              <w:spacing w:line="216" w:lineRule="auto"/>
              <w:ind w:left="115" w:right="115"/>
              <w:jc w:val="center"/>
              <w:rPr>
                <w:sz w:val="16"/>
                <w:szCs w:val="16"/>
              </w:rPr>
            </w:pPr>
            <w:r>
              <w:rPr>
                <w:sz w:val="16"/>
                <w:szCs w:val="16"/>
              </w:rPr>
              <w:t>Buyer’s Organization Code (9-digit)</w:t>
            </w:r>
          </w:p>
        </w:tc>
        <w:tc>
          <w:tcPr>
            <w:tcW w:w="499" w:type="dxa"/>
            <w:shd w:val="clear" w:color="auto" w:fill="FFF2CC"/>
            <w:textDirection w:val="btLr"/>
            <w:vAlign w:val="center"/>
          </w:tcPr>
          <w:p>
            <w:pPr>
              <w:snapToGrid w:val="0"/>
              <w:spacing w:line="216" w:lineRule="auto"/>
              <w:ind w:left="115" w:right="115"/>
              <w:jc w:val="center"/>
              <w:rPr>
                <w:sz w:val="16"/>
                <w:szCs w:val="16"/>
              </w:rPr>
            </w:pPr>
            <w:r>
              <w:rPr>
                <w:sz w:val="16"/>
                <w:szCs w:val="16"/>
              </w:rPr>
              <w:t>Buyer’s Local SAFE Branch</w:t>
            </w:r>
          </w:p>
        </w:tc>
        <w:tc>
          <w:tcPr>
            <w:tcW w:w="500" w:type="dxa"/>
            <w:shd w:val="clear" w:color="auto" w:fill="FFF2CC"/>
            <w:textDirection w:val="btLr"/>
            <w:vAlign w:val="center"/>
          </w:tcPr>
          <w:p>
            <w:pPr>
              <w:snapToGrid w:val="0"/>
              <w:spacing w:line="216" w:lineRule="auto"/>
              <w:ind w:left="115" w:right="115"/>
              <w:jc w:val="center"/>
              <w:rPr>
                <w:sz w:val="16"/>
                <w:szCs w:val="16"/>
              </w:rPr>
            </w:pPr>
            <w:r>
              <w:rPr>
                <w:sz w:val="16"/>
                <w:szCs w:val="16"/>
              </w:rPr>
              <w:t>Bill of Lading No. or Overseas Warrant No. for Goods Resold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9" w:type="dxa"/>
            <w:vAlign w:val="center"/>
          </w:tcPr>
          <w:p>
            <w:pPr>
              <w:snapToGrid w:val="0"/>
              <w:spacing w:line="240" w:lineRule="auto"/>
              <w:jc w:val="center"/>
              <w:rPr>
                <w:sz w:val="18"/>
                <w:szCs w:val="18"/>
              </w:rPr>
            </w:pPr>
            <w:r>
              <w:rPr>
                <w:sz w:val="18"/>
                <w:szCs w:val="18"/>
              </w:rPr>
              <w:t>1</w:t>
            </w: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tcPr>
          <w:p>
            <w:pPr>
              <w:snapToGrid w:val="0"/>
              <w:spacing w:line="240" w:lineRule="auto"/>
              <w:rPr>
                <w:sz w:val="18"/>
                <w:szCs w:val="18"/>
              </w:rPr>
            </w:pPr>
          </w:p>
        </w:tc>
        <w:tc>
          <w:tcPr>
            <w:tcW w:w="500" w:type="dxa"/>
          </w:tcPr>
          <w:p>
            <w:pPr>
              <w:snapToGrid w:val="0"/>
              <w:spacing w:line="24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9" w:type="dxa"/>
            <w:vAlign w:val="center"/>
          </w:tcPr>
          <w:p>
            <w:pPr>
              <w:snapToGrid w:val="0"/>
              <w:spacing w:line="240" w:lineRule="auto"/>
              <w:jc w:val="center"/>
              <w:rPr>
                <w:sz w:val="18"/>
                <w:szCs w:val="18"/>
              </w:rPr>
            </w:pPr>
            <w:r>
              <w:rPr>
                <w:sz w:val="18"/>
                <w:szCs w:val="18"/>
              </w:rPr>
              <w:t>2</w:t>
            </w: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tcPr>
          <w:p>
            <w:pPr>
              <w:snapToGrid w:val="0"/>
              <w:spacing w:line="240" w:lineRule="auto"/>
              <w:rPr>
                <w:sz w:val="18"/>
                <w:szCs w:val="18"/>
              </w:rPr>
            </w:pPr>
          </w:p>
        </w:tc>
        <w:tc>
          <w:tcPr>
            <w:tcW w:w="500" w:type="dxa"/>
          </w:tcPr>
          <w:p>
            <w:pPr>
              <w:snapToGrid w:val="0"/>
              <w:spacing w:line="24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9" w:type="dxa"/>
            <w:vAlign w:val="center"/>
          </w:tcPr>
          <w:p>
            <w:pPr>
              <w:snapToGrid w:val="0"/>
              <w:spacing w:line="240" w:lineRule="auto"/>
              <w:jc w:val="center"/>
              <w:rPr>
                <w:sz w:val="18"/>
                <w:szCs w:val="18"/>
              </w:rPr>
            </w:pPr>
            <w:r>
              <w:rPr>
                <w:sz w:val="18"/>
                <w:szCs w:val="18"/>
              </w:rPr>
              <w:t>3</w:t>
            </w: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tcPr>
          <w:p>
            <w:pPr>
              <w:snapToGrid w:val="0"/>
              <w:spacing w:line="240" w:lineRule="auto"/>
              <w:rPr>
                <w:sz w:val="18"/>
                <w:szCs w:val="18"/>
              </w:rPr>
            </w:pPr>
          </w:p>
        </w:tc>
        <w:tc>
          <w:tcPr>
            <w:tcW w:w="500" w:type="dxa"/>
          </w:tcPr>
          <w:p>
            <w:pPr>
              <w:snapToGrid w:val="0"/>
              <w:spacing w:line="24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9" w:type="dxa"/>
            <w:vAlign w:val="center"/>
          </w:tcPr>
          <w:p>
            <w:pPr>
              <w:snapToGrid w:val="0"/>
              <w:spacing w:line="240" w:lineRule="auto"/>
              <w:jc w:val="center"/>
              <w:rPr>
                <w:sz w:val="18"/>
                <w:szCs w:val="18"/>
              </w:rPr>
            </w:pPr>
            <w:r>
              <w:rPr>
                <w:sz w:val="18"/>
                <w:szCs w:val="18"/>
              </w:rPr>
              <w:t>…</w:t>
            </w: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tcPr>
          <w:p>
            <w:pPr>
              <w:snapToGrid w:val="0"/>
              <w:spacing w:line="240" w:lineRule="auto"/>
              <w:rPr>
                <w:sz w:val="18"/>
                <w:szCs w:val="18"/>
              </w:rPr>
            </w:pPr>
          </w:p>
        </w:tc>
        <w:tc>
          <w:tcPr>
            <w:tcW w:w="500" w:type="dxa"/>
          </w:tcPr>
          <w:p>
            <w:pPr>
              <w:snapToGrid w:val="0"/>
              <w:spacing w:line="240" w:lineRule="auto"/>
              <w:rPr>
                <w:sz w:val="18"/>
                <w:szCs w:val="18"/>
              </w:rPr>
            </w:pPr>
          </w:p>
        </w:tc>
      </w:tr>
    </w:tbl>
    <w:p>
      <w:pPr>
        <w:snapToGrid w:val="0"/>
        <w:spacing w:before="120" w:beforeLines="50" w:after="120" w:afterLines="50"/>
        <w:ind w:left="274" w:hanging="274"/>
        <w:rPr>
          <w:sz w:val="18"/>
          <w:szCs w:val="18"/>
        </w:rPr>
      </w:pPr>
      <w:r>
        <w:rPr>
          <w:sz w:val="18"/>
          <w:szCs w:val="18"/>
        </w:rPr>
        <w:t>Notes:</w:t>
      </w:r>
    </w:p>
    <w:p>
      <w:pPr>
        <w:snapToGrid w:val="0"/>
        <w:spacing w:after="120" w:afterLines="50"/>
        <w:ind w:left="274" w:hanging="274"/>
        <w:rPr>
          <w:rFonts w:cs="Times New Roman"/>
          <w:sz w:val="18"/>
          <w:szCs w:val="18"/>
        </w:rPr>
      </w:pPr>
      <w:r>
        <w:rPr>
          <w:rFonts w:cs="Times New Roman"/>
          <w:sz w:val="18"/>
          <w:szCs w:val="18"/>
        </w:rPr>
        <w:t>1.</w:t>
      </w:r>
      <w:r>
        <w:rPr>
          <w:rFonts w:cs="Times New Roman"/>
          <w:sz w:val="18"/>
          <w:szCs w:val="18"/>
        </w:rPr>
        <w:tab/>
      </w:r>
      <w:r>
        <w:rPr>
          <w:rFonts w:cs="Times New Roman"/>
          <w:sz w:val="18"/>
          <w:szCs w:val="18"/>
        </w:rPr>
        <w:t>This Annex 3 is used by domestic traders or Non-FF Members who take part in the cross-border delivery against TSR 20 futures, as well as by domestic entities involved in all subsequent resales, to report the status of the offshore goods to their competent local SAFE branches. This form must be completed on a transaction-by-transaction and cumulative basis, i.e., each new load-out transaction should be added as a new row and all previously reported information must be retained.</w:t>
      </w:r>
    </w:p>
    <w:p>
      <w:pPr>
        <w:snapToGrid w:val="0"/>
        <w:spacing w:after="120" w:afterLines="50"/>
        <w:ind w:left="274" w:hanging="274"/>
        <w:rPr>
          <w:sz w:val="18"/>
          <w:szCs w:val="18"/>
        </w:rPr>
      </w:pPr>
      <w:r>
        <w:rPr>
          <w:sz w:val="18"/>
          <w:szCs w:val="18"/>
        </w:rPr>
        <w:t>2.</w:t>
      </w:r>
      <w:r>
        <w:rPr>
          <w:sz w:val="18"/>
          <w:szCs w:val="18"/>
        </w:rPr>
        <w:tab/>
      </w:r>
      <w:r>
        <w:rPr>
          <w:sz w:val="18"/>
          <w:szCs w:val="18"/>
        </w:rPr>
        <w:t>For the purposes of this form, “Overseas Resale” refers to the sale of offshore TSR 20 to an overseas entity by domestic traders or Non-FF Members after they have completed a cross-border delivery against TSR 20 futures. “Domestic Resale” refers the sale of such goods to a domestic entity while they are still in an offshore state.</w:t>
      </w:r>
    </w:p>
    <w:p>
      <w:pPr>
        <w:snapToGrid w:val="0"/>
        <w:spacing w:after="120" w:afterLines="50"/>
        <w:ind w:left="274" w:hanging="274"/>
        <w:rPr>
          <w:sz w:val="18"/>
          <w:szCs w:val="18"/>
        </w:rPr>
      </w:pPr>
      <w:r>
        <w:rPr>
          <w:sz w:val="18"/>
          <w:szCs w:val="18"/>
        </w:rPr>
        <w:t>3.</w:t>
      </w:r>
      <w:r>
        <w:rPr>
          <w:sz w:val="18"/>
          <w:szCs w:val="18"/>
        </w:rPr>
        <w:tab/>
      </w:r>
      <w:r>
        <w:rPr>
          <w:sz w:val="18"/>
          <w:szCs w:val="18"/>
        </w:rPr>
        <w:t>Domestic traders and Non-FF Members that participate in cross-border delivery against TSR 20 futures must complete Section A, and also complete Section B, C, or D based on the destination of the goods. Domestic entities that participate in the resale of such goods must complete Section B, C, or D, as applicable.</w:t>
      </w:r>
    </w:p>
    <w:p>
      <w:pPr>
        <w:snapToGrid w:val="0"/>
        <w:ind w:left="270" w:hanging="270"/>
        <w:rPr>
          <w:sz w:val="18"/>
          <w:szCs w:val="18"/>
        </w:rPr>
      </w:pPr>
      <w:r>
        <w:rPr>
          <w:sz w:val="18"/>
          <w:szCs w:val="18"/>
        </w:rPr>
        <w:t>4.</w:t>
      </w:r>
      <w:r>
        <w:rPr>
          <w:sz w:val="18"/>
          <w:szCs w:val="18"/>
        </w:rPr>
        <w:tab/>
      </w:r>
      <w:r>
        <w:rPr>
          <w:sz w:val="18"/>
          <w:szCs w:val="18"/>
        </w:rPr>
        <w:t>In the case of domestic resale, the local SAFE branch for the seller must maintain a cumulative record on the domestic resale and forward it to the SAFE branch that oversees the corresponding domestic buyer. This process is to be maintained throughout all subsequent resales until the goods are finally cleared for import (border entry) or are resold to an overseas entity. The SAFE branch that has information on the final destination of the goods must forward this information back to the SAFE branch that oversees the initial transferor (i.e., the domestic trader or Non-FF Member who originally participated in the cross-</w:t>
      </w:r>
      <w:bookmarkEnd w:id="8"/>
      <w:r>
        <w:rPr>
          <w:sz w:val="18"/>
          <w:szCs w:val="18"/>
        </w:rPr>
        <w:t>border delivery).</w:t>
      </w:r>
    </w:p>
    <w:p>
      <w:pPr>
        <w:snapToGrid w:val="0"/>
        <w:ind w:left="270" w:hanging="270"/>
        <w:rPr>
          <w:sz w:val="18"/>
          <w:szCs w:val="18"/>
        </w:rPr>
        <w:sectPr>
          <w:pgSz w:w="16838" w:h="11906" w:orient="landscape"/>
          <w:pgMar w:top="720" w:right="720" w:bottom="720" w:left="720" w:header="720" w:footer="720" w:gutter="0"/>
          <w:cols w:space="720" w:num="1"/>
          <w:docGrid w:linePitch="360" w:charSpace="0"/>
        </w:sectPr>
      </w:pPr>
    </w:p>
    <w:p>
      <w:pPr>
        <w:snapToGrid w:val="0"/>
        <w:spacing w:after="240" w:afterLines="100"/>
        <w:rPr>
          <w:rFonts w:cs="Times New Roman"/>
        </w:rPr>
      </w:pPr>
      <w:r>
        <w:rPr>
          <w:rFonts w:cs="Times New Roman"/>
        </w:rPr>
        <w:t>Annex 2</w:t>
      </w:r>
    </w:p>
    <w:p>
      <w:pPr>
        <w:snapToGrid w:val="0"/>
        <w:spacing w:after="120" w:afterLines="50"/>
        <w:jc w:val="center"/>
        <w:rPr>
          <w:sz w:val="20"/>
          <w:szCs w:val="20"/>
        </w:rPr>
      </w:pPr>
      <w:r>
        <w:rPr>
          <w:sz w:val="20"/>
          <w:szCs w:val="20"/>
        </w:rPr>
        <w:t>Shanghai International Energy Exchange</w:t>
      </w:r>
    </w:p>
    <w:p>
      <w:pPr>
        <w:snapToGrid w:val="0"/>
        <w:spacing w:after="240" w:afterLines="100"/>
        <w:jc w:val="center"/>
        <w:rPr>
          <w:rFonts w:cs="Times New Roman"/>
          <w:b/>
          <w:bCs/>
          <w:sz w:val="28"/>
          <w:szCs w:val="28"/>
        </w:rPr>
      </w:pPr>
      <w:r>
        <w:rPr>
          <w:sz w:val="16"/>
          <w:szCs w:val="16"/>
        </w:rPr>
        <mc:AlternateContent>
          <mc:Choice Requires="wps">
            <w:drawing>
              <wp:anchor distT="45720" distB="45720" distL="114300" distR="114300" simplePos="0" relativeHeight="251659264" behindDoc="0" locked="0" layoutInCell="1" allowOverlap="1">
                <wp:simplePos x="0" y="0"/>
                <wp:positionH relativeFrom="column">
                  <wp:posOffset>3785235</wp:posOffset>
                </wp:positionH>
                <wp:positionV relativeFrom="paragraph">
                  <wp:posOffset>812800</wp:posOffset>
                </wp:positionV>
                <wp:extent cx="2070100" cy="1404620"/>
                <wp:effectExtent l="0" t="0" r="0" b="0"/>
                <wp:wrapNone/>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2070340" cy="1404620"/>
                        </a:xfrm>
                        <a:prstGeom prst="rect">
                          <a:avLst/>
                        </a:prstGeom>
                        <a:noFill/>
                        <a:ln w="9525">
                          <a:noFill/>
                          <a:miter lim="800000"/>
                        </a:ln>
                      </wps:spPr>
                      <wps:txbx>
                        <w:txbxContent>
                          <w:p>
                            <w:pPr>
                              <w:snapToGrid w:val="0"/>
                              <w:rPr>
                                <w:sz w:val="18"/>
                                <w:szCs w:val="18"/>
                              </w:rPr>
                            </w:pPr>
                            <w:r>
                              <w:rPr>
                                <w:sz w:val="18"/>
                                <w:szCs w:val="18"/>
                              </w:rPr>
                              <w:t xml:space="preserve">Reporting Date: </w:t>
                            </w:r>
                            <w:r>
                              <w:rPr>
                                <w:sz w:val="18"/>
                                <w:szCs w:val="18"/>
                                <w:u w:val="single"/>
                              </w:rPr>
                              <w:tab/>
                            </w:r>
                            <w:r>
                              <w:rPr>
                                <w:sz w:val="18"/>
                                <w:szCs w:val="18"/>
                                <w:u w:val="single"/>
                              </w:rPr>
                              <w:tab/>
                            </w:r>
                            <w:r>
                              <w:rPr>
                                <w:sz w:val="18"/>
                                <w:szCs w:val="18"/>
                                <w:u w:val="single"/>
                              </w:rPr>
                              <w:tab/>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298.05pt;margin-top:64pt;height:110.6pt;width:163pt;z-index:251659264;mso-width-relative:page;mso-height-relative:margin;mso-height-percent:200;" filled="f" stroked="f" coordsize="21600,21600" o:gfxdata="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CWP1002AAAAAsBAAAPAAAAAAAAAAEAIAAAADgAAABkcnMvZG93bnJldi54bWxQSwEC&#10;FAAUAAAACACHTuJAHEbSvhcCAAArBAAADgAAAAAAAAABACAAAAA9AQAAZHJzL2Uyb0RvYy54bWxQ&#10;SwUGAAAAAAYABgBZAQAAxgUAAAAA&#10;">
                <v:fill on="f" focussize="0,0"/>
                <v:stroke on="f" miterlimit="8" joinstyle="miter"/>
                <v:imagedata o:title=""/>
                <o:lock v:ext="edit" aspectratio="f"/>
                <v:textbox style="mso-fit-shape-to-text:t;">
                  <w:txbxContent>
                    <w:p>
                      <w:pPr>
                        <w:snapToGrid w:val="0"/>
                        <w:rPr>
                          <w:sz w:val="18"/>
                          <w:szCs w:val="18"/>
                        </w:rPr>
                      </w:pPr>
                      <w:r>
                        <w:rPr>
                          <w:sz w:val="18"/>
                          <w:szCs w:val="18"/>
                        </w:rPr>
                        <w:t xml:space="preserve">Reporting Date: </w:t>
                      </w:r>
                      <w:r>
                        <w:rPr>
                          <w:sz w:val="18"/>
                          <w:szCs w:val="18"/>
                          <w:u w:val="single"/>
                        </w:rPr>
                        <w:tab/>
                      </w:r>
                      <w:r>
                        <w:rPr>
                          <w:sz w:val="18"/>
                          <w:szCs w:val="18"/>
                          <w:u w:val="single"/>
                        </w:rPr>
                        <w:tab/>
                      </w:r>
                      <w:r>
                        <w:rPr>
                          <w:sz w:val="18"/>
                          <w:szCs w:val="18"/>
                          <w:u w:val="single"/>
                        </w:rPr>
                        <w:tab/>
                      </w:r>
                    </w:p>
                  </w:txbxContent>
                </v:textbox>
              </v:shape>
            </w:pict>
          </mc:Fallback>
        </mc:AlternateContent>
      </w:r>
      <w:r>
        <w:rPr>
          <w:rFonts w:cs="Times New Roman"/>
          <w:b/>
          <w:bCs/>
        </w:rPr>
        <w:t>Monthly Report on Cross-Border Delivery</w:t>
      </w:r>
    </w:p>
    <w:tbl>
      <w:tblPr>
        <w:tblStyle w:val="20"/>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1"/>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91" w:type="dxa"/>
          </w:tcPr>
          <w:p>
            <w:pPr>
              <w:snapToGrid w:val="0"/>
              <w:spacing w:before="60" w:after="60" w:line="240" w:lineRule="auto"/>
              <w:jc w:val="center"/>
              <w:rPr>
                <w:b/>
                <w:bCs/>
                <w:sz w:val="18"/>
                <w:szCs w:val="18"/>
              </w:rPr>
            </w:pPr>
            <w:r>
              <w:rPr>
                <w:b/>
                <w:bCs/>
                <w:sz w:val="18"/>
                <w:szCs w:val="18"/>
              </w:rPr>
              <w:t>Reporting Month</w:t>
            </w:r>
          </w:p>
        </w:tc>
        <w:tc>
          <w:tcPr>
            <w:tcW w:w="2070" w:type="dxa"/>
          </w:tcPr>
          <w:p>
            <w:pPr>
              <w:snapToGrid w:val="0"/>
              <w:spacing w:before="60" w:after="60"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91" w:type="dxa"/>
          </w:tcPr>
          <w:p>
            <w:pPr>
              <w:snapToGrid w:val="0"/>
              <w:spacing w:before="60" w:after="60" w:line="240" w:lineRule="auto"/>
              <w:jc w:val="center"/>
              <w:rPr>
                <w:b/>
                <w:bCs/>
                <w:sz w:val="18"/>
                <w:szCs w:val="18"/>
              </w:rPr>
            </w:pPr>
            <w:r>
              <w:rPr>
                <w:b/>
                <w:bCs/>
                <w:sz w:val="18"/>
                <w:szCs w:val="18"/>
              </w:rPr>
              <w:t>Product</w:t>
            </w:r>
          </w:p>
        </w:tc>
        <w:tc>
          <w:tcPr>
            <w:tcW w:w="2070" w:type="dxa"/>
          </w:tcPr>
          <w:p>
            <w:pPr>
              <w:snapToGrid w:val="0"/>
              <w:spacing w:before="60" w:after="60" w:line="240" w:lineRule="auto"/>
              <w:jc w:val="center"/>
              <w:rPr>
                <w:sz w:val="18"/>
                <w:szCs w:val="18"/>
              </w:rPr>
            </w:pPr>
            <w:r>
              <w:rPr>
                <w:sz w:val="18"/>
                <w:szCs w:val="18"/>
              </w:rPr>
              <w:t>TSR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91" w:type="dxa"/>
          </w:tcPr>
          <w:p>
            <w:pPr>
              <w:snapToGrid w:val="0"/>
              <w:spacing w:before="60" w:after="60" w:line="240" w:lineRule="auto"/>
              <w:jc w:val="center"/>
              <w:rPr>
                <w:b/>
                <w:bCs/>
                <w:sz w:val="18"/>
                <w:szCs w:val="18"/>
              </w:rPr>
            </w:pPr>
            <w:r>
              <w:rPr>
                <w:b/>
                <w:bCs/>
                <w:sz w:val="18"/>
                <w:szCs w:val="18"/>
              </w:rPr>
              <w:t>Delivery Method</w:t>
            </w:r>
          </w:p>
        </w:tc>
        <w:tc>
          <w:tcPr>
            <w:tcW w:w="2070" w:type="dxa"/>
          </w:tcPr>
          <w:p>
            <w:pPr>
              <w:snapToGrid w:val="0"/>
              <w:spacing w:before="60" w:after="60" w:line="240" w:lineRule="auto"/>
              <w:jc w:val="center"/>
              <w:rPr>
                <w:sz w:val="18"/>
                <w:szCs w:val="18"/>
              </w:rPr>
            </w:pPr>
            <w:r>
              <w:rPr>
                <w:sz w:val="18"/>
                <w:szCs w:val="18"/>
              </w:rPr>
              <w:t>Cross-Border Delivery</w:t>
            </w:r>
          </w:p>
        </w:tc>
      </w:tr>
    </w:tbl>
    <w:p>
      <w:pPr>
        <w:snapToGrid w:val="0"/>
        <w:ind w:left="274" w:hanging="274"/>
        <w:rPr>
          <w:sz w:val="18"/>
          <w:szCs w:val="18"/>
        </w:rPr>
      </w:pPr>
    </w:p>
    <w:tbl>
      <w:tblPr>
        <w:tblStyle w:val="20"/>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43" w:type="dxa"/>
          <w:bottom w:w="0" w:type="dxa"/>
          <w:right w:w="43" w:type="dxa"/>
        </w:tblCellMar>
      </w:tblPr>
      <w:tblGrid>
        <w:gridCol w:w="1161"/>
        <w:gridCol w:w="360"/>
        <w:gridCol w:w="2206"/>
        <w:gridCol w:w="1754"/>
        <w:gridCol w:w="1080"/>
        <w:gridCol w:w="1080"/>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3" w:type="dxa"/>
            <w:bottom w:w="0" w:type="dxa"/>
            <w:right w:w="43" w:type="dxa"/>
          </w:tblCellMar>
        </w:tblPrEx>
        <w:tc>
          <w:tcPr>
            <w:tcW w:w="1161" w:type="dxa"/>
            <w:vAlign w:val="center"/>
          </w:tcPr>
          <w:p>
            <w:pPr>
              <w:snapToGrid w:val="0"/>
              <w:spacing w:before="72" w:beforeLines="30" w:after="72" w:afterLines="30" w:line="240" w:lineRule="auto"/>
              <w:jc w:val="center"/>
              <w:rPr>
                <w:b/>
                <w:bCs/>
                <w:sz w:val="18"/>
                <w:szCs w:val="18"/>
              </w:rPr>
            </w:pPr>
            <w:r>
              <w:rPr>
                <w:b/>
                <w:bCs/>
                <w:sz w:val="18"/>
                <w:szCs w:val="18"/>
              </w:rPr>
              <w:t>Category</w:t>
            </w:r>
          </w:p>
        </w:tc>
        <w:tc>
          <w:tcPr>
            <w:tcW w:w="4320" w:type="dxa"/>
            <w:gridSpan w:val="3"/>
            <w:vAlign w:val="center"/>
          </w:tcPr>
          <w:p>
            <w:pPr>
              <w:snapToGrid w:val="0"/>
              <w:spacing w:before="72" w:beforeLines="30" w:after="72" w:afterLines="30" w:line="240" w:lineRule="auto"/>
              <w:jc w:val="center"/>
              <w:rPr>
                <w:b/>
                <w:bCs/>
                <w:sz w:val="18"/>
                <w:szCs w:val="18"/>
              </w:rPr>
            </w:pPr>
            <w:r>
              <w:rPr>
                <w:b/>
                <w:bCs/>
                <w:sz w:val="18"/>
                <w:szCs w:val="18"/>
              </w:rPr>
              <w:t>Item</w:t>
            </w:r>
          </w:p>
        </w:tc>
        <w:tc>
          <w:tcPr>
            <w:tcW w:w="1080" w:type="dxa"/>
            <w:vAlign w:val="center"/>
          </w:tcPr>
          <w:p>
            <w:pPr>
              <w:snapToGrid w:val="0"/>
              <w:spacing w:before="72" w:beforeLines="30" w:line="240" w:lineRule="auto"/>
              <w:jc w:val="center"/>
              <w:rPr>
                <w:b/>
                <w:bCs/>
                <w:sz w:val="18"/>
                <w:szCs w:val="18"/>
              </w:rPr>
            </w:pPr>
            <w:r>
              <w:rPr>
                <w:b/>
                <w:bCs/>
                <w:sz w:val="18"/>
                <w:szCs w:val="18"/>
              </w:rPr>
              <w:t>Total Quantity</w:t>
            </w:r>
          </w:p>
          <w:p>
            <w:pPr>
              <w:snapToGrid w:val="0"/>
              <w:spacing w:after="72" w:afterLines="30" w:line="240" w:lineRule="auto"/>
              <w:jc w:val="center"/>
              <w:rPr>
                <w:b/>
                <w:bCs/>
                <w:sz w:val="18"/>
                <w:szCs w:val="18"/>
              </w:rPr>
            </w:pPr>
            <w:r>
              <w:rPr>
                <w:b/>
                <w:bCs/>
                <w:sz w:val="18"/>
                <w:szCs w:val="18"/>
              </w:rPr>
              <w:t>(metric ton)</w:t>
            </w:r>
          </w:p>
        </w:tc>
        <w:tc>
          <w:tcPr>
            <w:tcW w:w="1080" w:type="dxa"/>
            <w:vAlign w:val="center"/>
          </w:tcPr>
          <w:p>
            <w:pPr>
              <w:snapToGrid w:val="0"/>
              <w:spacing w:before="72" w:beforeLines="30" w:line="240" w:lineRule="auto"/>
              <w:jc w:val="center"/>
              <w:rPr>
                <w:b/>
                <w:bCs/>
                <w:sz w:val="18"/>
                <w:szCs w:val="18"/>
              </w:rPr>
            </w:pPr>
            <w:r>
              <w:rPr>
                <w:b/>
                <w:bCs/>
                <w:sz w:val="18"/>
                <w:szCs w:val="18"/>
              </w:rPr>
              <w:t>Total Amount</w:t>
            </w:r>
          </w:p>
          <w:p>
            <w:pPr>
              <w:snapToGrid w:val="0"/>
              <w:spacing w:after="72" w:afterLines="30" w:line="240" w:lineRule="auto"/>
              <w:jc w:val="center"/>
              <w:rPr>
                <w:b/>
                <w:bCs/>
                <w:sz w:val="18"/>
                <w:szCs w:val="18"/>
              </w:rPr>
            </w:pPr>
            <w:r>
              <w:rPr>
                <w:b/>
                <w:bCs/>
                <w:sz w:val="18"/>
                <w:szCs w:val="18"/>
              </w:rPr>
              <w:t>(RMB)</w:t>
            </w:r>
          </w:p>
        </w:tc>
        <w:tc>
          <w:tcPr>
            <w:tcW w:w="1101" w:type="dxa"/>
            <w:vAlign w:val="center"/>
          </w:tcPr>
          <w:p>
            <w:pPr>
              <w:snapToGrid w:val="0"/>
              <w:spacing w:before="72" w:beforeLines="30" w:line="240" w:lineRule="auto"/>
              <w:jc w:val="center"/>
              <w:rPr>
                <w:b/>
                <w:bCs/>
                <w:sz w:val="18"/>
                <w:szCs w:val="18"/>
              </w:rPr>
            </w:pPr>
            <w:r>
              <w:rPr>
                <w:b/>
                <w:bCs/>
                <w:sz w:val="18"/>
                <w:szCs w:val="18"/>
              </w:rPr>
              <w:t>Total Amount</w:t>
            </w:r>
          </w:p>
          <w:p>
            <w:pPr>
              <w:snapToGrid w:val="0"/>
              <w:spacing w:after="72" w:afterLines="30" w:line="240" w:lineRule="auto"/>
              <w:jc w:val="center"/>
              <w:rPr>
                <w:b/>
                <w:bCs/>
                <w:sz w:val="18"/>
                <w:szCs w:val="18"/>
              </w:rPr>
            </w:pPr>
            <w:r>
              <w:rPr>
                <w:b/>
                <w:bCs/>
                <w:sz w:val="18"/>
                <w:szCs w:val="18"/>
              </w:rPr>
              <w:t>(USD)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3" w:type="dxa"/>
            <w:bottom w:w="0" w:type="dxa"/>
            <w:right w:w="43" w:type="dxa"/>
          </w:tblCellMar>
        </w:tblPrEx>
        <w:trPr>
          <w:trHeight w:val="576" w:hRule="atLeast"/>
        </w:trPr>
        <w:tc>
          <w:tcPr>
            <w:tcW w:w="1161" w:type="dxa"/>
            <w:vMerge w:val="restart"/>
            <w:vAlign w:val="center"/>
          </w:tcPr>
          <w:p>
            <w:pPr>
              <w:snapToGrid w:val="0"/>
              <w:spacing w:before="72" w:beforeLines="30" w:after="72" w:afterLines="30" w:line="240" w:lineRule="auto"/>
              <w:jc w:val="center"/>
              <w:rPr>
                <w:b/>
                <w:bCs/>
                <w:sz w:val="18"/>
                <w:szCs w:val="18"/>
              </w:rPr>
            </w:pPr>
            <w:r>
              <w:rPr>
                <w:b/>
                <w:bCs/>
                <w:sz w:val="18"/>
                <w:szCs w:val="18"/>
              </w:rPr>
              <w:t>Cross-Border Delivery</w:t>
            </w:r>
          </w:p>
        </w:tc>
        <w:tc>
          <w:tcPr>
            <w:tcW w:w="360" w:type="dxa"/>
            <w:vAlign w:val="center"/>
          </w:tcPr>
          <w:p>
            <w:pPr>
              <w:snapToGrid w:val="0"/>
              <w:spacing w:before="72" w:beforeLines="30" w:after="72" w:afterLines="30" w:line="240" w:lineRule="auto"/>
              <w:jc w:val="center"/>
              <w:rPr>
                <w:sz w:val="18"/>
                <w:szCs w:val="18"/>
              </w:rPr>
            </w:pPr>
            <w:r>
              <w:rPr>
                <w:sz w:val="18"/>
                <w:szCs w:val="18"/>
              </w:rPr>
              <w:t>1</w:t>
            </w:r>
          </w:p>
        </w:tc>
        <w:tc>
          <w:tcPr>
            <w:tcW w:w="3960" w:type="dxa"/>
            <w:gridSpan w:val="2"/>
            <w:vAlign w:val="center"/>
          </w:tcPr>
          <w:p>
            <w:pPr>
              <w:snapToGrid w:val="0"/>
              <w:spacing w:before="72" w:beforeLines="30" w:after="72" w:afterLines="30" w:line="240" w:lineRule="auto"/>
              <w:rPr>
                <w:sz w:val="18"/>
                <w:szCs w:val="18"/>
              </w:rPr>
            </w:pPr>
            <w:r>
              <w:rPr>
                <w:b/>
                <w:bCs/>
                <w:sz w:val="18"/>
                <w:szCs w:val="18"/>
              </w:rPr>
              <w:t>Total cross-border delivery in current month</w:t>
            </w:r>
            <w:r>
              <w:rPr>
                <w:sz w:val="18"/>
                <w:szCs w:val="18"/>
              </w:rPr>
              <w:t xml:space="preserve"> (single-counted)</w:t>
            </w:r>
          </w:p>
        </w:tc>
        <w:tc>
          <w:tcPr>
            <w:tcW w:w="1080" w:type="dxa"/>
            <w:vAlign w:val="center"/>
          </w:tcPr>
          <w:p>
            <w:pPr>
              <w:snapToGrid w:val="0"/>
              <w:spacing w:before="72" w:beforeLines="30" w:after="72" w:afterLines="30" w:line="240" w:lineRule="auto"/>
              <w:jc w:val="center"/>
              <w:rPr>
                <w:sz w:val="18"/>
                <w:szCs w:val="18"/>
              </w:rPr>
            </w:pPr>
          </w:p>
        </w:tc>
        <w:tc>
          <w:tcPr>
            <w:tcW w:w="1080" w:type="dxa"/>
            <w:vAlign w:val="center"/>
          </w:tcPr>
          <w:p>
            <w:pPr>
              <w:snapToGrid w:val="0"/>
              <w:spacing w:before="72" w:beforeLines="30" w:after="72" w:afterLines="30" w:line="240" w:lineRule="auto"/>
              <w:jc w:val="center"/>
              <w:rPr>
                <w:sz w:val="18"/>
                <w:szCs w:val="18"/>
              </w:rPr>
            </w:pPr>
          </w:p>
        </w:tc>
        <w:tc>
          <w:tcPr>
            <w:tcW w:w="1101" w:type="dxa"/>
            <w:shd w:val="clear" w:color="auto" w:fill="D9D9D9"/>
            <w:vAlign w:val="center"/>
          </w:tcPr>
          <w:p>
            <w:pPr>
              <w:snapToGrid w:val="0"/>
              <w:spacing w:before="72" w:beforeLines="30" w:after="72" w:afterLines="30" w:line="240" w:lineRule="auto"/>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3" w:type="dxa"/>
            <w:bottom w:w="0" w:type="dxa"/>
            <w:right w:w="43" w:type="dxa"/>
          </w:tblCellMar>
        </w:tblPrEx>
        <w:trPr>
          <w:trHeight w:val="576" w:hRule="atLeast"/>
        </w:trPr>
        <w:tc>
          <w:tcPr>
            <w:tcW w:w="1161" w:type="dxa"/>
            <w:vMerge w:val="continue"/>
            <w:vAlign w:val="center"/>
          </w:tcPr>
          <w:p>
            <w:pPr>
              <w:snapToGrid w:val="0"/>
              <w:spacing w:before="72" w:beforeLines="30" w:after="72" w:afterLines="30" w:line="240" w:lineRule="auto"/>
              <w:jc w:val="center"/>
              <w:rPr>
                <w:b/>
                <w:bCs/>
                <w:sz w:val="18"/>
                <w:szCs w:val="18"/>
              </w:rPr>
            </w:pPr>
          </w:p>
        </w:tc>
        <w:tc>
          <w:tcPr>
            <w:tcW w:w="360" w:type="dxa"/>
            <w:vAlign w:val="center"/>
          </w:tcPr>
          <w:p>
            <w:pPr>
              <w:snapToGrid w:val="0"/>
              <w:spacing w:before="72" w:beforeLines="30" w:after="72" w:afterLines="30" w:line="240" w:lineRule="auto"/>
              <w:jc w:val="center"/>
              <w:rPr>
                <w:sz w:val="18"/>
                <w:szCs w:val="18"/>
              </w:rPr>
            </w:pPr>
            <w:r>
              <w:rPr>
                <w:sz w:val="18"/>
                <w:szCs w:val="18"/>
              </w:rPr>
              <w:t>2</w:t>
            </w:r>
          </w:p>
        </w:tc>
        <w:tc>
          <w:tcPr>
            <w:tcW w:w="2206" w:type="dxa"/>
            <w:vMerge w:val="restart"/>
            <w:vAlign w:val="center"/>
          </w:tcPr>
          <w:p>
            <w:pPr>
              <w:snapToGrid w:val="0"/>
              <w:spacing w:before="72" w:beforeLines="30" w:after="72" w:afterLines="30" w:line="240" w:lineRule="auto"/>
              <w:jc w:val="right"/>
              <w:rPr>
                <w:sz w:val="18"/>
                <w:szCs w:val="18"/>
              </w:rPr>
            </w:pPr>
            <w:r>
              <w:rPr>
                <w:sz w:val="18"/>
                <w:szCs w:val="18"/>
              </w:rPr>
              <w:t>Buy</w:t>
            </w:r>
          </w:p>
        </w:tc>
        <w:tc>
          <w:tcPr>
            <w:tcW w:w="1754" w:type="dxa"/>
            <w:vAlign w:val="center"/>
          </w:tcPr>
          <w:p>
            <w:pPr>
              <w:snapToGrid w:val="0"/>
              <w:spacing w:before="72" w:beforeLines="30" w:after="72" w:afterLines="30" w:line="240" w:lineRule="auto"/>
              <w:rPr>
                <w:sz w:val="18"/>
                <w:szCs w:val="18"/>
              </w:rPr>
            </w:pPr>
            <w:r>
              <w:rPr>
                <w:sz w:val="18"/>
                <w:szCs w:val="18"/>
              </w:rPr>
              <w:t>Non-resident</w:t>
            </w:r>
          </w:p>
        </w:tc>
        <w:tc>
          <w:tcPr>
            <w:tcW w:w="1080" w:type="dxa"/>
            <w:vAlign w:val="center"/>
          </w:tcPr>
          <w:p>
            <w:pPr>
              <w:snapToGrid w:val="0"/>
              <w:spacing w:before="72" w:beforeLines="30" w:after="72" w:afterLines="30" w:line="240" w:lineRule="auto"/>
              <w:jc w:val="center"/>
              <w:rPr>
                <w:sz w:val="18"/>
                <w:szCs w:val="18"/>
              </w:rPr>
            </w:pPr>
          </w:p>
        </w:tc>
        <w:tc>
          <w:tcPr>
            <w:tcW w:w="1080" w:type="dxa"/>
            <w:vAlign w:val="center"/>
          </w:tcPr>
          <w:p>
            <w:pPr>
              <w:snapToGrid w:val="0"/>
              <w:spacing w:before="72" w:beforeLines="30" w:after="72" w:afterLines="30" w:line="240" w:lineRule="auto"/>
              <w:jc w:val="center"/>
              <w:rPr>
                <w:sz w:val="18"/>
                <w:szCs w:val="18"/>
              </w:rPr>
            </w:pPr>
          </w:p>
        </w:tc>
        <w:tc>
          <w:tcPr>
            <w:tcW w:w="1101" w:type="dxa"/>
            <w:shd w:val="clear" w:color="auto" w:fill="D9D9D9"/>
            <w:vAlign w:val="center"/>
          </w:tcPr>
          <w:p>
            <w:pPr>
              <w:snapToGrid w:val="0"/>
              <w:spacing w:before="72" w:beforeLines="30" w:after="72" w:afterLines="30" w:line="240" w:lineRule="auto"/>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3" w:type="dxa"/>
            <w:bottom w:w="0" w:type="dxa"/>
            <w:right w:w="43" w:type="dxa"/>
          </w:tblCellMar>
        </w:tblPrEx>
        <w:trPr>
          <w:trHeight w:val="576" w:hRule="atLeast"/>
        </w:trPr>
        <w:tc>
          <w:tcPr>
            <w:tcW w:w="1161" w:type="dxa"/>
            <w:vMerge w:val="continue"/>
            <w:vAlign w:val="center"/>
          </w:tcPr>
          <w:p>
            <w:pPr>
              <w:snapToGrid w:val="0"/>
              <w:spacing w:before="72" w:beforeLines="30" w:after="72" w:afterLines="30" w:line="240" w:lineRule="auto"/>
              <w:jc w:val="center"/>
              <w:rPr>
                <w:b/>
                <w:bCs/>
                <w:sz w:val="18"/>
                <w:szCs w:val="18"/>
              </w:rPr>
            </w:pPr>
          </w:p>
        </w:tc>
        <w:tc>
          <w:tcPr>
            <w:tcW w:w="360" w:type="dxa"/>
            <w:vAlign w:val="center"/>
          </w:tcPr>
          <w:p>
            <w:pPr>
              <w:snapToGrid w:val="0"/>
              <w:spacing w:before="72" w:beforeLines="30" w:after="72" w:afterLines="30" w:line="240" w:lineRule="auto"/>
              <w:jc w:val="center"/>
              <w:rPr>
                <w:sz w:val="18"/>
                <w:szCs w:val="18"/>
              </w:rPr>
            </w:pPr>
            <w:r>
              <w:rPr>
                <w:sz w:val="18"/>
                <w:szCs w:val="18"/>
              </w:rPr>
              <w:t>3</w:t>
            </w:r>
          </w:p>
        </w:tc>
        <w:tc>
          <w:tcPr>
            <w:tcW w:w="2206" w:type="dxa"/>
            <w:vMerge w:val="continue"/>
            <w:vAlign w:val="center"/>
          </w:tcPr>
          <w:p>
            <w:pPr>
              <w:snapToGrid w:val="0"/>
              <w:spacing w:before="72" w:beforeLines="30" w:after="72" w:afterLines="30" w:line="240" w:lineRule="auto"/>
              <w:jc w:val="right"/>
              <w:rPr>
                <w:sz w:val="18"/>
                <w:szCs w:val="18"/>
              </w:rPr>
            </w:pPr>
          </w:p>
        </w:tc>
        <w:tc>
          <w:tcPr>
            <w:tcW w:w="1754" w:type="dxa"/>
            <w:vAlign w:val="center"/>
          </w:tcPr>
          <w:p>
            <w:pPr>
              <w:snapToGrid w:val="0"/>
              <w:spacing w:before="72" w:beforeLines="30" w:after="72" w:afterLines="30" w:line="240" w:lineRule="auto"/>
              <w:rPr>
                <w:sz w:val="18"/>
                <w:szCs w:val="18"/>
              </w:rPr>
            </w:pPr>
            <w:r>
              <w:rPr>
                <w:sz w:val="18"/>
                <w:szCs w:val="18"/>
              </w:rPr>
              <w:t>Resident</w:t>
            </w:r>
          </w:p>
        </w:tc>
        <w:tc>
          <w:tcPr>
            <w:tcW w:w="1080" w:type="dxa"/>
            <w:vAlign w:val="center"/>
          </w:tcPr>
          <w:p>
            <w:pPr>
              <w:snapToGrid w:val="0"/>
              <w:spacing w:before="72" w:beforeLines="30" w:after="72" w:afterLines="30" w:line="240" w:lineRule="auto"/>
              <w:jc w:val="center"/>
              <w:rPr>
                <w:sz w:val="18"/>
                <w:szCs w:val="18"/>
              </w:rPr>
            </w:pPr>
          </w:p>
        </w:tc>
        <w:tc>
          <w:tcPr>
            <w:tcW w:w="1080" w:type="dxa"/>
            <w:vAlign w:val="center"/>
          </w:tcPr>
          <w:p>
            <w:pPr>
              <w:snapToGrid w:val="0"/>
              <w:spacing w:before="72" w:beforeLines="30" w:after="72" w:afterLines="30" w:line="240" w:lineRule="auto"/>
              <w:jc w:val="center"/>
              <w:rPr>
                <w:sz w:val="18"/>
                <w:szCs w:val="18"/>
              </w:rPr>
            </w:pPr>
          </w:p>
        </w:tc>
        <w:tc>
          <w:tcPr>
            <w:tcW w:w="1101" w:type="dxa"/>
            <w:shd w:val="clear" w:color="auto" w:fill="D9D9D9"/>
            <w:vAlign w:val="center"/>
          </w:tcPr>
          <w:p>
            <w:pPr>
              <w:snapToGrid w:val="0"/>
              <w:spacing w:before="72" w:beforeLines="30" w:after="72" w:afterLines="30" w:line="240" w:lineRule="auto"/>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3" w:type="dxa"/>
            <w:bottom w:w="0" w:type="dxa"/>
            <w:right w:w="43" w:type="dxa"/>
          </w:tblCellMar>
        </w:tblPrEx>
        <w:trPr>
          <w:trHeight w:val="576" w:hRule="atLeast"/>
        </w:trPr>
        <w:tc>
          <w:tcPr>
            <w:tcW w:w="1161" w:type="dxa"/>
            <w:vMerge w:val="continue"/>
            <w:vAlign w:val="center"/>
          </w:tcPr>
          <w:p>
            <w:pPr>
              <w:snapToGrid w:val="0"/>
              <w:spacing w:before="72" w:beforeLines="30" w:after="72" w:afterLines="30" w:line="240" w:lineRule="auto"/>
              <w:jc w:val="center"/>
              <w:rPr>
                <w:b/>
                <w:bCs/>
                <w:sz w:val="18"/>
                <w:szCs w:val="18"/>
              </w:rPr>
            </w:pPr>
          </w:p>
        </w:tc>
        <w:tc>
          <w:tcPr>
            <w:tcW w:w="360" w:type="dxa"/>
            <w:vAlign w:val="center"/>
          </w:tcPr>
          <w:p>
            <w:pPr>
              <w:snapToGrid w:val="0"/>
              <w:spacing w:before="72" w:beforeLines="30" w:after="72" w:afterLines="30" w:line="240" w:lineRule="auto"/>
              <w:jc w:val="center"/>
              <w:rPr>
                <w:sz w:val="18"/>
                <w:szCs w:val="18"/>
              </w:rPr>
            </w:pPr>
            <w:r>
              <w:rPr>
                <w:sz w:val="18"/>
                <w:szCs w:val="18"/>
              </w:rPr>
              <w:t>4</w:t>
            </w:r>
          </w:p>
        </w:tc>
        <w:tc>
          <w:tcPr>
            <w:tcW w:w="2206" w:type="dxa"/>
            <w:vAlign w:val="center"/>
          </w:tcPr>
          <w:p>
            <w:pPr>
              <w:snapToGrid w:val="0"/>
              <w:spacing w:before="72" w:beforeLines="30" w:after="72" w:afterLines="30" w:line="240" w:lineRule="auto"/>
              <w:jc w:val="right"/>
              <w:rPr>
                <w:sz w:val="18"/>
                <w:szCs w:val="18"/>
              </w:rPr>
            </w:pPr>
            <w:r>
              <w:rPr>
                <w:sz w:val="18"/>
                <w:szCs w:val="18"/>
              </w:rPr>
              <w:t>Sell</w:t>
            </w:r>
          </w:p>
        </w:tc>
        <w:tc>
          <w:tcPr>
            <w:tcW w:w="1754" w:type="dxa"/>
            <w:vAlign w:val="center"/>
          </w:tcPr>
          <w:p>
            <w:pPr>
              <w:snapToGrid w:val="0"/>
              <w:spacing w:before="72" w:beforeLines="30" w:after="72" w:afterLines="30" w:line="240" w:lineRule="auto"/>
              <w:rPr>
                <w:sz w:val="18"/>
                <w:szCs w:val="18"/>
              </w:rPr>
            </w:pPr>
            <w:r>
              <w:rPr>
                <w:sz w:val="18"/>
                <w:szCs w:val="18"/>
              </w:rPr>
              <w:t>Non-resident</w:t>
            </w:r>
          </w:p>
        </w:tc>
        <w:tc>
          <w:tcPr>
            <w:tcW w:w="1080" w:type="dxa"/>
            <w:vAlign w:val="center"/>
          </w:tcPr>
          <w:p>
            <w:pPr>
              <w:snapToGrid w:val="0"/>
              <w:spacing w:before="72" w:beforeLines="30" w:after="72" w:afterLines="30" w:line="240" w:lineRule="auto"/>
              <w:jc w:val="center"/>
              <w:rPr>
                <w:sz w:val="18"/>
                <w:szCs w:val="18"/>
              </w:rPr>
            </w:pPr>
          </w:p>
        </w:tc>
        <w:tc>
          <w:tcPr>
            <w:tcW w:w="1080" w:type="dxa"/>
            <w:vAlign w:val="center"/>
          </w:tcPr>
          <w:p>
            <w:pPr>
              <w:snapToGrid w:val="0"/>
              <w:spacing w:before="72" w:beforeLines="30" w:after="72" w:afterLines="30" w:line="240" w:lineRule="auto"/>
              <w:jc w:val="center"/>
              <w:rPr>
                <w:sz w:val="18"/>
                <w:szCs w:val="18"/>
              </w:rPr>
            </w:pPr>
          </w:p>
        </w:tc>
        <w:tc>
          <w:tcPr>
            <w:tcW w:w="1101" w:type="dxa"/>
            <w:shd w:val="clear" w:color="auto" w:fill="D9D9D9"/>
            <w:vAlign w:val="center"/>
          </w:tcPr>
          <w:p>
            <w:pPr>
              <w:snapToGrid w:val="0"/>
              <w:spacing w:before="72" w:beforeLines="30" w:after="72" w:afterLines="30" w:line="240" w:lineRule="auto"/>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3" w:type="dxa"/>
            <w:bottom w:w="0" w:type="dxa"/>
            <w:right w:w="43" w:type="dxa"/>
          </w:tblCellMar>
        </w:tblPrEx>
        <w:trPr>
          <w:trHeight w:val="576" w:hRule="atLeast"/>
        </w:trPr>
        <w:tc>
          <w:tcPr>
            <w:tcW w:w="1161" w:type="dxa"/>
            <w:vMerge w:val="restart"/>
            <w:vAlign w:val="center"/>
          </w:tcPr>
          <w:p>
            <w:pPr>
              <w:snapToGrid w:val="0"/>
              <w:spacing w:before="72" w:beforeLines="30" w:after="72" w:afterLines="30" w:line="240" w:lineRule="auto"/>
              <w:jc w:val="center"/>
              <w:rPr>
                <w:b/>
                <w:bCs/>
                <w:sz w:val="18"/>
                <w:szCs w:val="18"/>
              </w:rPr>
            </w:pPr>
            <w:r>
              <w:rPr>
                <w:b/>
                <w:bCs/>
                <w:sz w:val="18"/>
                <w:szCs w:val="18"/>
              </w:rPr>
              <w:t>Load-In</w:t>
            </w:r>
          </w:p>
        </w:tc>
        <w:tc>
          <w:tcPr>
            <w:tcW w:w="360" w:type="dxa"/>
            <w:vAlign w:val="center"/>
          </w:tcPr>
          <w:p>
            <w:pPr>
              <w:snapToGrid w:val="0"/>
              <w:spacing w:before="72" w:beforeLines="30" w:after="72" w:afterLines="30" w:line="240" w:lineRule="auto"/>
              <w:jc w:val="center"/>
              <w:rPr>
                <w:sz w:val="18"/>
                <w:szCs w:val="18"/>
              </w:rPr>
            </w:pPr>
            <w:r>
              <w:rPr>
                <w:sz w:val="18"/>
                <w:szCs w:val="18"/>
              </w:rPr>
              <w:t>5</w:t>
            </w:r>
          </w:p>
        </w:tc>
        <w:tc>
          <w:tcPr>
            <w:tcW w:w="3960" w:type="dxa"/>
            <w:gridSpan w:val="2"/>
            <w:vAlign w:val="center"/>
          </w:tcPr>
          <w:p>
            <w:pPr>
              <w:snapToGrid w:val="0"/>
              <w:spacing w:before="72" w:beforeLines="30" w:after="72" w:afterLines="30" w:line="240" w:lineRule="auto"/>
              <w:rPr>
                <w:sz w:val="18"/>
                <w:szCs w:val="18"/>
              </w:rPr>
            </w:pPr>
            <w:r>
              <w:rPr>
                <w:b/>
                <w:bCs/>
                <w:sz w:val="18"/>
                <w:szCs w:val="18"/>
              </w:rPr>
              <w:t>Total load-in in current month</w:t>
            </w:r>
            <w:r>
              <w:rPr>
                <w:sz w:val="18"/>
                <w:szCs w:val="18"/>
              </w:rPr>
              <w:t xml:space="preserve"> (overseas standard warrants created)</w:t>
            </w:r>
          </w:p>
        </w:tc>
        <w:tc>
          <w:tcPr>
            <w:tcW w:w="1080" w:type="dxa"/>
            <w:vAlign w:val="center"/>
          </w:tcPr>
          <w:p>
            <w:pPr>
              <w:snapToGrid w:val="0"/>
              <w:spacing w:before="72" w:beforeLines="30" w:after="72" w:afterLines="30" w:line="240" w:lineRule="auto"/>
              <w:jc w:val="center"/>
              <w:rPr>
                <w:sz w:val="18"/>
                <w:szCs w:val="18"/>
              </w:rPr>
            </w:pPr>
          </w:p>
        </w:tc>
        <w:tc>
          <w:tcPr>
            <w:tcW w:w="1080" w:type="dxa"/>
            <w:shd w:val="clear" w:color="auto" w:fill="D9D9D9"/>
            <w:vAlign w:val="center"/>
          </w:tcPr>
          <w:p>
            <w:pPr>
              <w:snapToGrid w:val="0"/>
              <w:spacing w:before="72" w:beforeLines="30" w:after="72" w:afterLines="30" w:line="240" w:lineRule="auto"/>
              <w:jc w:val="center"/>
              <w:rPr>
                <w:sz w:val="18"/>
                <w:szCs w:val="18"/>
              </w:rPr>
            </w:pPr>
            <w:r>
              <w:rPr>
                <w:sz w:val="18"/>
                <w:szCs w:val="18"/>
              </w:rPr>
              <w:t>—</w:t>
            </w:r>
          </w:p>
        </w:tc>
        <w:tc>
          <w:tcPr>
            <w:tcW w:w="1101" w:type="dxa"/>
            <w:shd w:val="clear" w:color="auto" w:fill="D9D9D9"/>
            <w:vAlign w:val="center"/>
          </w:tcPr>
          <w:p>
            <w:pPr>
              <w:snapToGrid w:val="0"/>
              <w:spacing w:before="72" w:beforeLines="30" w:after="72" w:afterLines="30" w:line="240" w:lineRule="auto"/>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3" w:type="dxa"/>
            <w:bottom w:w="0" w:type="dxa"/>
            <w:right w:w="43" w:type="dxa"/>
          </w:tblCellMar>
        </w:tblPrEx>
        <w:trPr>
          <w:trHeight w:val="576" w:hRule="atLeast"/>
        </w:trPr>
        <w:tc>
          <w:tcPr>
            <w:tcW w:w="1161" w:type="dxa"/>
            <w:vMerge w:val="continue"/>
            <w:vAlign w:val="center"/>
          </w:tcPr>
          <w:p>
            <w:pPr>
              <w:snapToGrid w:val="0"/>
              <w:spacing w:before="72" w:beforeLines="30" w:after="72" w:afterLines="30" w:line="240" w:lineRule="auto"/>
              <w:jc w:val="center"/>
              <w:rPr>
                <w:b/>
                <w:bCs/>
                <w:sz w:val="18"/>
                <w:szCs w:val="18"/>
              </w:rPr>
            </w:pPr>
          </w:p>
        </w:tc>
        <w:tc>
          <w:tcPr>
            <w:tcW w:w="360" w:type="dxa"/>
            <w:vAlign w:val="center"/>
          </w:tcPr>
          <w:p>
            <w:pPr>
              <w:snapToGrid w:val="0"/>
              <w:spacing w:before="72" w:beforeLines="30" w:after="72" w:afterLines="30" w:line="240" w:lineRule="auto"/>
              <w:jc w:val="center"/>
              <w:rPr>
                <w:sz w:val="18"/>
                <w:szCs w:val="18"/>
              </w:rPr>
            </w:pPr>
            <w:r>
              <w:rPr>
                <w:sz w:val="18"/>
                <w:szCs w:val="18"/>
              </w:rPr>
              <w:t>6</w:t>
            </w:r>
          </w:p>
        </w:tc>
        <w:tc>
          <w:tcPr>
            <w:tcW w:w="2206" w:type="dxa"/>
            <w:vAlign w:val="center"/>
          </w:tcPr>
          <w:p>
            <w:pPr>
              <w:snapToGrid w:val="0"/>
              <w:spacing w:before="72" w:beforeLines="30" w:after="72" w:afterLines="30" w:line="240" w:lineRule="auto"/>
              <w:jc w:val="right"/>
              <w:rPr>
                <w:sz w:val="18"/>
                <w:szCs w:val="18"/>
              </w:rPr>
            </w:pPr>
            <w:r>
              <w:rPr>
                <w:sz w:val="18"/>
                <w:szCs w:val="18"/>
              </w:rPr>
              <w:t>Non-resident load-in</w:t>
            </w:r>
          </w:p>
        </w:tc>
        <w:tc>
          <w:tcPr>
            <w:tcW w:w="1754" w:type="dxa"/>
            <w:vAlign w:val="center"/>
          </w:tcPr>
          <w:p>
            <w:pPr>
              <w:snapToGrid w:val="0"/>
              <w:spacing w:before="72" w:beforeLines="30" w:after="72" w:afterLines="30" w:line="240" w:lineRule="auto"/>
              <w:rPr>
                <w:sz w:val="18"/>
                <w:szCs w:val="18"/>
              </w:rPr>
            </w:pPr>
            <w:r>
              <w:rPr>
                <w:sz w:val="18"/>
                <w:szCs w:val="18"/>
              </w:rPr>
              <w:t>Self-issued</w:t>
            </w:r>
          </w:p>
        </w:tc>
        <w:tc>
          <w:tcPr>
            <w:tcW w:w="1080" w:type="dxa"/>
            <w:vAlign w:val="center"/>
          </w:tcPr>
          <w:p>
            <w:pPr>
              <w:snapToGrid w:val="0"/>
              <w:spacing w:before="72" w:beforeLines="30" w:after="72" w:afterLines="30" w:line="240" w:lineRule="auto"/>
              <w:jc w:val="center"/>
              <w:rPr>
                <w:sz w:val="18"/>
                <w:szCs w:val="18"/>
              </w:rPr>
            </w:pPr>
          </w:p>
        </w:tc>
        <w:tc>
          <w:tcPr>
            <w:tcW w:w="1080" w:type="dxa"/>
            <w:shd w:val="clear" w:color="auto" w:fill="D9D9D9"/>
            <w:vAlign w:val="center"/>
          </w:tcPr>
          <w:p>
            <w:pPr>
              <w:snapToGrid w:val="0"/>
              <w:spacing w:before="72" w:beforeLines="30" w:after="72" w:afterLines="30" w:line="240" w:lineRule="auto"/>
              <w:jc w:val="center"/>
              <w:rPr>
                <w:sz w:val="18"/>
                <w:szCs w:val="18"/>
              </w:rPr>
            </w:pPr>
            <w:r>
              <w:rPr>
                <w:sz w:val="18"/>
                <w:szCs w:val="18"/>
              </w:rPr>
              <w:t>—</w:t>
            </w:r>
          </w:p>
        </w:tc>
        <w:tc>
          <w:tcPr>
            <w:tcW w:w="1101" w:type="dxa"/>
            <w:shd w:val="clear" w:color="auto" w:fill="D9D9D9"/>
            <w:vAlign w:val="center"/>
          </w:tcPr>
          <w:p>
            <w:pPr>
              <w:snapToGrid w:val="0"/>
              <w:spacing w:before="72" w:beforeLines="30" w:after="72" w:afterLines="30" w:line="240" w:lineRule="auto"/>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3" w:type="dxa"/>
            <w:bottom w:w="0" w:type="dxa"/>
            <w:right w:w="43" w:type="dxa"/>
          </w:tblCellMar>
        </w:tblPrEx>
        <w:trPr>
          <w:trHeight w:val="576" w:hRule="atLeast"/>
        </w:trPr>
        <w:tc>
          <w:tcPr>
            <w:tcW w:w="1161" w:type="dxa"/>
            <w:vMerge w:val="restart"/>
            <w:vAlign w:val="center"/>
          </w:tcPr>
          <w:p>
            <w:pPr>
              <w:snapToGrid w:val="0"/>
              <w:spacing w:before="72" w:beforeLines="30" w:after="72" w:afterLines="30" w:line="240" w:lineRule="auto"/>
              <w:jc w:val="center"/>
              <w:rPr>
                <w:b/>
                <w:bCs/>
                <w:sz w:val="18"/>
                <w:szCs w:val="18"/>
              </w:rPr>
            </w:pPr>
            <w:r>
              <w:rPr>
                <w:b/>
                <w:bCs/>
                <w:sz w:val="18"/>
                <w:szCs w:val="18"/>
              </w:rPr>
              <w:t>Load-Out</w:t>
            </w:r>
          </w:p>
        </w:tc>
        <w:tc>
          <w:tcPr>
            <w:tcW w:w="360" w:type="dxa"/>
            <w:vAlign w:val="center"/>
          </w:tcPr>
          <w:p>
            <w:pPr>
              <w:snapToGrid w:val="0"/>
              <w:spacing w:before="72" w:beforeLines="30" w:after="72" w:afterLines="30" w:line="240" w:lineRule="auto"/>
              <w:jc w:val="center"/>
              <w:rPr>
                <w:sz w:val="18"/>
                <w:szCs w:val="18"/>
              </w:rPr>
            </w:pPr>
            <w:r>
              <w:rPr>
                <w:sz w:val="18"/>
                <w:szCs w:val="18"/>
              </w:rPr>
              <w:t>7</w:t>
            </w:r>
          </w:p>
        </w:tc>
        <w:tc>
          <w:tcPr>
            <w:tcW w:w="3960" w:type="dxa"/>
            <w:gridSpan w:val="2"/>
            <w:vAlign w:val="center"/>
          </w:tcPr>
          <w:p>
            <w:pPr>
              <w:snapToGrid w:val="0"/>
              <w:spacing w:before="72" w:beforeLines="30" w:after="72" w:afterLines="30" w:line="240" w:lineRule="auto"/>
              <w:rPr>
                <w:sz w:val="18"/>
                <w:szCs w:val="18"/>
              </w:rPr>
            </w:pPr>
            <w:r>
              <w:rPr>
                <w:b/>
                <w:bCs/>
                <w:sz w:val="18"/>
                <w:szCs w:val="18"/>
              </w:rPr>
              <w:t>Total load-out in current month</w:t>
            </w:r>
            <w:r>
              <w:rPr>
                <w:sz w:val="18"/>
                <w:szCs w:val="18"/>
              </w:rPr>
              <w:t xml:space="preserve"> (overseas standard warrants cancel</w:t>
            </w:r>
            <w:r>
              <w:rPr>
                <w:rFonts w:hint="eastAsia"/>
                <w:sz w:val="18"/>
                <w:szCs w:val="18"/>
              </w:rPr>
              <w:t>l</w:t>
            </w:r>
            <w:r>
              <w:rPr>
                <w:sz w:val="18"/>
                <w:szCs w:val="18"/>
              </w:rPr>
              <w:t>ed)</w:t>
            </w:r>
          </w:p>
        </w:tc>
        <w:tc>
          <w:tcPr>
            <w:tcW w:w="1080" w:type="dxa"/>
            <w:vAlign w:val="center"/>
          </w:tcPr>
          <w:p>
            <w:pPr>
              <w:snapToGrid w:val="0"/>
              <w:spacing w:before="72" w:beforeLines="30" w:after="72" w:afterLines="30" w:line="240" w:lineRule="auto"/>
              <w:jc w:val="center"/>
              <w:rPr>
                <w:sz w:val="18"/>
                <w:szCs w:val="18"/>
              </w:rPr>
            </w:pPr>
          </w:p>
        </w:tc>
        <w:tc>
          <w:tcPr>
            <w:tcW w:w="1080" w:type="dxa"/>
            <w:shd w:val="clear" w:color="auto" w:fill="D9D9D9"/>
            <w:vAlign w:val="center"/>
          </w:tcPr>
          <w:p>
            <w:pPr>
              <w:snapToGrid w:val="0"/>
              <w:spacing w:before="72" w:beforeLines="30" w:after="72" w:afterLines="30" w:line="240" w:lineRule="auto"/>
              <w:jc w:val="center"/>
              <w:rPr>
                <w:sz w:val="18"/>
                <w:szCs w:val="18"/>
              </w:rPr>
            </w:pPr>
            <w:r>
              <w:rPr>
                <w:sz w:val="18"/>
                <w:szCs w:val="18"/>
              </w:rPr>
              <w:t>—</w:t>
            </w:r>
          </w:p>
        </w:tc>
        <w:tc>
          <w:tcPr>
            <w:tcW w:w="1101" w:type="dxa"/>
            <w:shd w:val="clear" w:color="auto" w:fill="D9D9D9"/>
            <w:vAlign w:val="center"/>
          </w:tcPr>
          <w:p>
            <w:pPr>
              <w:snapToGrid w:val="0"/>
              <w:spacing w:before="72" w:beforeLines="30" w:after="72" w:afterLines="30" w:line="240" w:lineRule="auto"/>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3" w:type="dxa"/>
            <w:bottom w:w="0" w:type="dxa"/>
            <w:right w:w="43" w:type="dxa"/>
          </w:tblCellMar>
        </w:tblPrEx>
        <w:trPr>
          <w:trHeight w:val="576" w:hRule="atLeast"/>
        </w:trPr>
        <w:tc>
          <w:tcPr>
            <w:tcW w:w="1161" w:type="dxa"/>
            <w:vMerge w:val="continue"/>
            <w:vAlign w:val="center"/>
          </w:tcPr>
          <w:p>
            <w:pPr>
              <w:snapToGrid w:val="0"/>
              <w:spacing w:before="72" w:beforeLines="30" w:after="72" w:afterLines="30" w:line="240" w:lineRule="auto"/>
              <w:jc w:val="center"/>
              <w:rPr>
                <w:b/>
                <w:bCs/>
                <w:sz w:val="18"/>
                <w:szCs w:val="18"/>
              </w:rPr>
            </w:pPr>
          </w:p>
        </w:tc>
        <w:tc>
          <w:tcPr>
            <w:tcW w:w="360" w:type="dxa"/>
            <w:vAlign w:val="center"/>
          </w:tcPr>
          <w:p>
            <w:pPr>
              <w:snapToGrid w:val="0"/>
              <w:spacing w:before="72" w:beforeLines="30" w:after="72" w:afterLines="30" w:line="240" w:lineRule="auto"/>
              <w:jc w:val="center"/>
              <w:rPr>
                <w:sz w:val="18"/>
                <w:szCs w:val="18"/>
              </w:rPr>
            </w:pPr>
            <w:r>
              <w:rPr>
                <w:sz w:val="18"/>
                <w:szCs w:val="18"/>
              </w:rPr>
              <w:t>8</w:t>
            </w:r>
          </w:p>
        </w:tc>
        <w:tc>
          <w:tcPr>
            <w:tcW w:w="2206" w:type="dxa"/>
            <w:vMerge w:val="restart"/>
            <w:vAlign w:val="center"/>
          </w:tcPr>
          <w:p>
            <w:pPr>
              <w:snapToGrid w:val="0"/>
              <w:spacing w:before="72" w:beforeLines="30" w:after="72" w:afterLines="30" w:line="240" w:lineRule="auto"/>
              <w:jc w:val="right"/>
              <w:rPr>
                <w:sz w:val="18"/>
                <w:szCs w:val="18"/>
              </w:rPr>
            </w:pPr>
            <w:r>
              <w:rPr>
                <w:sz w:val="18"/>
                <w:szCs w:val="18"/>
              </w:rPr>
              <w:t>Resident load-out</w:t>
            </w:r>
          </w:p>
        </w:tc>
        <w:tc>
          <w:tcPr>
            <w:tcW w:w="1754" w:type="dxa"/>
            <w:vAlign w:val="center"/>
          </w:tcPr>
          <w:p>
            <w:pPr>
              <w:snapToGrid w:val="0"/>
              <w:spacing w:before="72" w:beforeLines="30" w:after="72" w:afterLines="30" w:line="240" w:lineRule="auto"/>
              <w:rPr>
                <w:sz w:val="18"/>
                <w:szCs w:val="18"/>
              </w:rPr>
            </w:pPr>
            <w:r>
              <w:rPr>
                <w:sz w:val="18"/>
                <w:szCs w:val="18"/>
              </w:rPr>
              <w:t>Import (border entry) through customs declaration</w:t>
            </w:r>
          </w:p>
        </w:tc>
        <w:tc>
          <w:tcPr>
            <w:tcW w:w="1080" w:type="dxa"/>
            <w:vAlign w:val="center"/>
          </w:tcPr>
          <w:p>
            <w:pPr>
              <w:snapToGrid w:val="0"/>
              <w:spacing w:before="72" w:beforeLines="30" w:after="72" w:afterLines="30" w:line="240" w:lineRule="auto"/>
              <w:jc w:val="center"/>
              <w:rPr>
                <w:sz w:val="18"/>
                <w:szCs w:val="18"/>
              </w:rPr>
            </w:pPr>
          </w:p>
        </w:tc>
        <w:tc>
          <w:tcPr>
            <w:tcW w:w="1080" w:type="dxa"/>
            <w:vAlign w:val="center"/>
          </w:tcPr>
          <w:p>
            <w:pPr>
              <w:snapToGrid w:val="0"/>
              <w:spacing w:before="72" w:beforeLines="30" w:after="72" w:afterLines="30" w:line="240" w:lineRule="auto"/>
              <w:jc w:val="center"/>
              <w:rPr>
                <w:sz w:val="18"/>
                <w:szCs w:val="18"/>
              </w:rPr>
            </w:pPr>
          </w:p>
        </w:tc>
        <w:tc>
          <w:tcPr>
            <w:tcW w:w="1101" w:type="dxa"/>
            <w:vAlign w:val="center"/>
          </w:tcPr>
          <w:p>
            <w:pPr>
              <w:snapToGrid w:val="0"/>
              <w:spacing w:before="72" w:beforeLines="30" w:after="72" w:afterLines="30"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3" w:type="dxa"/>
            <w:bottom w:w="0" w:type="dxa"/>
            <w:right w:w="43" w:type="dxa"/>
          </w:tblCellMar>
        </w:tblPrEx>
        <w:trPr>
          <w:trHeight w:val="576" w:hRule="atLeast"/>
        </w:trPr>
        <w:tc>
          <w:tcPr>
            <w:tcW w:w="1161" w:type="dxa"/>
            <w:vMerge w:val="continue"/>
            <w:vAlign w:val="center"/>
          </w:tcPr>
          <w:p>
            <w:pPr>
              <w:snapToGrid w:val="0"/>
              <w:spacing w:before="72" w:beforeLines="30" w:after="72" w:afterLines="30" w:line="240" w:lineRule="auto"/>
              <w:jc w:val="center"/>
              <w:rPr>
                <w:b/>
                <w:bCs/>
                <w:sz w:val="18"/>
                <w:szCs w:val="18"/>
              </w:rPr>
            </w:pPr>
          </w:p>
        </w:tc>
        <w:tc>
          <w:tcPr>
            <w:tcW w:w="360" w:type="dxa"/>
            <w:vAlign w:val="center"/>
          </w:tcPr>
          <w:p>
            <w:pPr>
              <w:snapToGrid w:val="0"/>
              <w:spacing w:before="72" w:beforeLines="30" w:after="72" w:afterLines="30" w:line="240" w:lineRule="auto"/>
              <w:jc w:val="center"/>
              <w:rPr>
                <w:sz w:val="18"/>
                <w:szCs w:val="18"/>
              </w:rPr>
            </w:pPr>
            <w:r>
              <w:rPr>
                <w:sz w:val="18"/>
                <w:szCs w:val="18"/>
              </w:rPr>
              <w:t>9</w:t>
            </w:r>
          </w:p>
        </w:tc>
        <w:tc>
          <w:tcPr>
            <w:tcW w:w="2206" w:type="dxa"/>
            <w:vMerge w:val="continue"/>
          </w:tcPr>
          <w:p>
            <w:pPr>
              <w:snapToGrid w:val="0"/>
              <w:spacing w:before="72" w:beforeLines="30" w:after="72" w:afterLines="30" w:line="240" w:lineRule="auto"/>
              <w:rPr>
                <w:sz w:val="18"/>
                <w:szCs w:val="18"/>
              </w:rPr>
            </w:pPr>
          </w:p>
        </w:tc>
        <w:tc>
          <w:tcPr>
            <w:tcW w:w="1754" w:type="dxa"/>
            <w:vAlign w:val="center"/>
          </w:tcPr>
          <w:p>
            <w:pPr>
              <w:snapToGrid w:val="0"/>
              <w:spacing w:before="72" w:beforeLines="30" w:after="72" w:afterLines="30" w:line="240" w:lineRule="auto"/>
              <w:rPr>
                <w:sz w:val="18"/>
                <w:szCs w:val="18"/>
              </w:rPr>
            </w:pPr>
            <w:r>
              <w:rPr>
                <w:sz w:val="18"/>
                <w:szCs w:val="18"/>
              </w:rPr>
              <w:t>Overseas resale</w:t>
            </w:r>
          </w:p>
        </w:tc>
        <w:tc>
          <w:tcPr>
            <w:tcW w:w="1080" w:type="dxa"/>
            <w:vAlign w:val="center"/>
          </w:tcPr>
          <w:p>
            <w:pPr>
              <w:snapToGrid w:val="0"/>
              <w:spacing w:before="72" w:beforeLines="30" w:after="72" w:afterLines="30" w:line="240" w:lineRule="auto"/>
              <w:jc w:val="center"/>
              <w:rPr>
                <w:sz w:val="18"/>
                <w:szCs w:val="18"/>
              </w:rPr>
            </w:pPr>
          </w:p>
        </w:tc>
        <w:tc>
          <w:tcPr>
            <w:tcW w:w="1080" w:type="dxa"/>
            <w:vAlign w:val="center"/>
          </w:tcPr>
          <w:p>
            <w:pPr>
              <w:snapToGrid w:val="0"/>
              <w:spacing w:before="72" w:beforeLines="30" w:after="72" w:afterLines="30" w:line="240" w:lineRule="auto"/>
              <w:jc w:val="center"/>
              <w:rPr>
                <w:sz w:val="18"/>
                <w:szCs w:val="18"/>
              </w:rPr>
            </w:pPr>
          </w:p>
        </w:tc>
        <w:tc>
          <w:tcPr>
            <w:tcW w:w="1101" w:type="dxa"/>
            <w:vAlign w:val="center"/>
          </w:tcPr>
          <w:p>
            <w:pPr>
              <w:snapToGrid w:val="0"/>
              <w:spacing w:before="72" w:beforeLines="30" w:after="72" w:afterLines="30"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3" w:type="dxa"/>
            <w:bottom w:w="0" w:type="dxa"/>
            <w:right w:w="43" w:type="dxa"/>
          </w:tblCellMar>
        </w:tblPrEx>
        <w:trPr>
          <w:trHeight w:val="576" w:hRule="atLeast"/>
        </w:trPr>
        <w:tc>
          <w:tcPr>
            <w:tcW w:w="1161" w:type="dxa"/>
            <w:vMerge w:val="continue"/>
            <w:vAlign w:val="center"/>
          </w:tcPr>
          <w:p>
            <w:pPr>
              <w:snapToGrid w:val="0"/>
              <w:spacing w:before="72" w:beforeLines="30" w:after="72" w:afterLines="30" w:line="240" w:lineRule="auto"/>
              <w:jc w:val="center"/>
              <w:rPr>
                <w:b/>
                <w:bCs/>
                <w:sz w:val="18"/>
                <w:szCs w:val="18"/>
              </w:rPr>
            </w:pPr>
          </w:p>
        </w:tc>
        <w:tc>
          <w:tcPr>
            <w:tcW w:w="360" w:type="dxa"/>
            <w:vAlign w:val="center"/>
          </w:tcPr>
          <w:p>
            <w:pPr>
              <w:snapToGrid w:val="0"/>
              <w:spacing w:before="72" w:beforeLines="30" w:after="72" w:afterLines="30" w:line="240" w:lineRule="auto"/>
              <w:jc w:val="center"/>
              <w:rPr>
                <w:sz w:val="18"/>
                <w:szCs w:val="18"/>
              </w:rPr>
            </w:pPr>
            <w:r>
              <w:rPr>
                <w:sz w:val="18"/>
                <w:szCs w:val="18"/>
              </w:rPr>
              <w:t>10</w:t>
            </w:r>
          </w:p>
        </w:tc>
        <w:tc>
          <w:tcPr>
            <w:tcW w:w="2206" w:type="dxa"/>
            <w:vMerge w:val="continue"/>
          </w:tcPr>
          <w:p>
            <w:pPr>
              <w:snapToGrid w:val="0"/>
              <w:spacing w:before="72" w:beforeLines="30" w:after="72" w:afterLines="30" w:line="240" w:lineRule="auto"/>
              <w:rPr>
                <w:sz w:val="18"/>
                <w:szCs w:val="18"/>
              </w:rPr>
            </w:pPr>
          </w:p>
        </w:tc>
        <w:tc>
          <w:tcPr>
            <w:tcW w:w="1754" w:type="dxa"/>
            <w:vAlign w:val="center"/>
          </w:tcPr>
          <w:p>
            <w:pPr>
              <w:snapToGrid w:val="0"/>
              <w:spacing w:before="72" w:beforeLines="30" w:after="72" w:afterLines="30" w:line="240" w:lineRule="auto"/>
              <w:rPr>
                <w:sz w:val="18"/>
                <w:szCs w:val="18"/>
              </w:rPr>
            </w:pPr>
            <w:r>
              <w:rPr>
                <w:sz w:val="18"/>
                <w:szCs w:val="18"/>
              </w:rPr>
              <w:t>Domestic resale</w:t>
            </w:r>
          </w:p>
        </w:tc>
        <w:tc>
          <w:tcPr>
            <w:tcW w:w="1080" w:type="dxa"/>
            <w:vAlign w:val="center"/>
          </w:tcPr>
          <w:p>
            <w:pPr>
              <w:snapToGrid w:val="0"/>
              <w:spacing w:before="72" w:beforeLines="30" w:after="72" w:afterLines="30" w:line="240" w:lineRule="auto"/>
              <w:jc w:val="center"/>
              <w:rPr>
                <w:sz w:val="18"/>
                <w:szCs w:val="18"/>
              </w:rPr>
            </w:pPr>
          </w:p>
        </w:tc>
        <w:tc>
          <w:tcPr>
            <w:tcW w:w="1080" w:type="dxa"/>
            <w:vAlign w:val="center"/>
          </w:tcPr>
          <w:p>
            <w:pPr>
              <w:snapToGrid w:val="0"/>
              <w:spacing w:before="72" w:beforeLines="30" w:after="72" w:afterLines="30" w:line="240" w:lineRule="auto"/>
              <w:jc w:val="center"/>
              <w:rPr>
                <w:sz w:val="18"/>
                <w:szCs w:val="18"/>
              </w:rPr>
            </w:pPr>
          </w:p>
        </w:tc>
        <w:tc>
          <w:tcPr>
            <w:tcW w:w="1101" w:type="dxa"/>
            <w:vAlign w:val="center"/>
          </w:tcPr>
          <w:p>
            <w:pPr>
              <w:snapToGrid w:val="0"/>
              <w:spacing w:before="72" w:beforeLines="30" w:after="72" w:afterLines="30"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3" w:type="dxa"/>
            <w:bottom w:w="0" w:type="dxa"/>
            <w:right w:w="43" w:type="dxa"/>
          </w:tblCellMar>
        </w:tblPrEx>
        <w:trPr>
          <w:trHeight w:val="576" w:hRule="atLeast"/>
        </w:trPr>
        <w:tc>
          <w:tcPr>
            <w:tcW w:w="1161" w:type="dxa"/>
            <w:vMerge w:val="continue"/>
            <w:vAlign w:val="center"/>
          </w:tcPr>
          <w:p>
            <w:pPr>
              <w:snapToGrid w:val="0"/>
              <w:spacing w:before="72" w:beforeLines="30" w:after="72" w:afterLines="30" w:line="240" w:lineRule="auto"/>
              <w:jc w:val="center"/>
              <w:rPr>
                <w:b/>
                <w:bCs/>
                <w:sz w:val="18"/>
                <w:szCs w:val="18"/>
              </w:rPr>
            </w:pPr>
          </w:p>
        </w:tc>
        <w:tc>
          <w:tcPr>
            <w:tcW w:w="360" w:type="dxa"/>
            <w:vAlign w:val="center"/>
          </w:tcPr>
          <w:p>
            <w:pPr>
              <w:snapToGrid w:val="0"/>
              <w:spacing w:before="72" w:beforeLines="30" w:after="72" w:afterLines="30" w:line="240" w:lineRule="auto"/>
              <w:jc w:val="center"/>
              <w:rPr>
                <w:sz w:val="18"/>
                <w:szCs w:val="18"/>
              </w:rPr>
            </w:pPr>
            <w:r>
              <w:rPr>
                <w:sz w:val="18"/>
                <w:szCs w:val="18"/>
              </w:rPr>
              <w:t>11</w:t>
            </w:r>
          </w:p>
        </w:tc>
        <w:tc>
          <w:tcPr>
            <w:tcW w:w="2206" w:type="dxa"/>
            <w:vAlign w:val="center"/>
          </w:tcPr>
          <w:p>
            <w:pPr>
              <w:snapToGrid w:val="0"/>
              <w:spacing w:before="72" w:beforeLines="30" w:after="72" w:afterLines="30" w:line="240" w:lineRule="auto"/>
              <w:jc w:val="right"/>
              <w:rPr>
                <w:sz w:val="18"/>
                <w:szCs w:val="18"/>
              </w:rPr>
            </w:pPr>
            <w:r>
              <w:rPr>
                <w:sz w:val="18"/>
                <w:szCs w:val="18"/>
              </w:rPr>
              <w:t>Non-resident load-out</w:t>
            </w:r>
          </w:p>
        </w:tc>
        <w:tc>
          <w:tcPr>
            <w:tcW w:w="1754" w:type="dxa"/>
            <w:vAlign w:val="center"/>
          </w:tcPr>
          <w:p>
            <w:pPr>
              <w:snapToGrid w:val="0"/>
              <w:spacing w:before="72" w:beforeLines="30" w:after="72" w:afterLines="30" w:line="240" w:lineRule="auto"/>
              <w:rPr>
                <w:sz w:val="18"/>
                <w:szCs w:val="18"/>
              </w:rPr>
            </w:pPr>
            <w:r>
              <w:rPr>
                <w:sz w:val="18"/>
                <w:szCs w:val="18"/>
              </w:rPr>
              <w:t>Load-out</w:t>
            </w:r>
          </w:p>
        </w:tc>
        <w:tc>
          <w:tcPr>
            <w:tcW w:w="1080" w:type="dxa"/>
            <w:vAlign w:val="center"/>
          </w:tcPr>
          <w:p>
            <w:pPr>
              <w:snapToGrid w:val="0"/>
              <w:spacing w:before="72" w:beforeLines="30" w:after="72" w:afterLines="30" w:line="240" w:lineRule="auto"/>
              <w:jc w:val="center"/>
              <w:rPr>
                <w:sz w:val="18"/>
                <w:szCs w:val="18"/>
              </w:rPr>
            </w:pPr>
          </w:p>
        </w:tc>
        <w:tc>
          <w:tcPr>
            <w:tcW w:w="1080" w:type="dxa"/>
            <w:shd w:val="clear" w:color="auto" w:fill="D9D9D9"/>
            <w:vAlign w:val="center"/>
          </w:tcPr>
          <w:p>
            <w:pPr>
              <w:snapToGrid w:val="0"/>
              <w:spacing w:before="72" w:beforeLines="30" w:after="72" w:afterLines="30" w:line="240" w:lineRule="auto"/>
              <w:jc w:val="center"/>
              <w:rPr>
                <w:sz w:val="18"/>
                <w:szCs w:val="18"/>
              </w:rPr>
            </w:pPr>
            <w:r>
              <w:rPr>
                <w:sz w:val="18"/>
                <w:szCs w:val="18"/>
              </w:rPr>
              <w:t>—</w:t>
            </w:r>
          </w:p>
        </w:tc>
        <w:tc>
          <w:tcPr>
            <w:tcW w:w="1101" w:type="dxa"/>
            <w:shd w:val="clear" w:color="auto" w:fill="D9D9D9"/>
            <w:vAlign w:val="center"/>
          </w:tcPr>
          <w:p>
            <w:pPr>
              <w:snapToGrid w:val="0"/>
              <w:spacing w:before="72" w:beforeLines="30" w:after="72" w:afterLines="30" w:line="240" w:lineRule="auto"/>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3" w:type="dxa"/>
            <w:bottom w:w="0" w:type="dxa"/>
            <w:right w:w="43" w:type="dxa"/>
          </w:tblCellMar>
        </w:tblPrEx>
        <w:trPr>
          <w:trHeight w:val="576" w:hRule="atLeast"/>
        </w:trPr>
        <w:tc>
          <w:tcPr>
            <w:tcW w:w="1161" w:type="dxa"/>
            <w:vMerge w:val="restart"/>
            <w:vAlign w:val="center"/>
          </w:tcPr>
          <w:p>
            <w:pPr>
              <w:snapToGrid w:val="0"/>
              <w:spacing w:before="72" w:beforeLines="30" w:after="72" w:afterLines="30" w:line="240" w:lineRule="auto"/>
              <w:jc w:val="center"/>
              <w:rPr>
                <w:b/>
                <w:bCs/>
                <w:sz w:val="18"/>
                <w:szCs w:val="18"/>
              </w:rPr>
            </w:pPr>
            <w:r>
              <w:rPr>
                <w:b/>
                <w:bCs/>
                <w:sz w:val="18"/>
                <w:szCs w:val="18"/>
              </w:rPr>
              <w:t>Overseas Standard Warrant Balance</w:t>
            </w:r>
          </w:p>
        </w:tc>
        <w:tc>
          <w:tcPr>
            <w:tcW w:w="360" w:type="dxa"/>
            <w:vAlign w:val="center"/>
          </w:tcPr>
          <w:p>
            <w:pPr>
              <w:snapToGrid w:val="0"/>
              <w:spacing w:before="72" w:beforeLines="30" w:after="72" w:afterLines="30" w:line="240" w:lineRule="auto"/>
              <w:jc w:val="center"/>
              <w:rPr>
                <w:sz w:val="18"/>
                <w:szCs w:val="18"/>
              </w:rPr>
            </w:pPr>
            <w:r>
              <w:rPr>
                <w:sz w:val="18"/>
                <w:szCs w:val="18"/>
              </w:rPr>
              <w:t>12</w:t>
            </w:r>
          </w:p>
        </w:tc>
        <w:tc>
          <w:tcPr>
            <w:tcW w:w="3960" w:type="dxa"/>
            <w:gridSpan w:val="2"/>
            <w:vAlign w:val="center"/>
          </w:tcPr>
          <w:p>
            <w:pPr>
              <w:snapToGrid w:val="0"/>
              <w:spacing w:before="72" w:beforeLines="30" w:after="72" w:afterLines="30" w:line="240" w:lineRule="auto"/>
              <w:rPr>
                <w:b/>
                <w:bCs/>
                <w:sz w:val="18"/>
                <w:szCs w:val="18"/>
              </w:rPr>
            </w:pPr>
            <w:r>
              <w:rPr>
                <w:b/>
                <w:bCs/>
                <w:sz w:val="18"/>
                <w:szCs w:val="18"/>
              </w:rPr>
              <w:t>Outstanding overseas standard warrants at end of previous month</w:t>
            </w:r>
          </w:p>
        </w:tc>
        <w:tc>
          <w:tcPr>
            <w:tcW w:w="1080" w:type="dxa"/>
            <w:vAlign w:val="center"/>
          </w:tcPr>
          <w:p>
            <w:pPr>
              <w:snapToGrid w:val="0"/>
              <w:spacing w:before="72" w:beforeLines="30" w:after="72" w:afterLines="30" w:line="240" w:lineRule="auto"/>
              <w:jc w:val="center"/>
              <w:rPr>
                <w:sz w:val="18"/>
                <w:szCs w:val="18"/>
              </w:rPr>
            </w:pPr>
          </w:p>
        </w:tc>
        <w:tc>
          <w:tcPr>
            <w:tcW w:w="1080" w:type="dxa"/>
            <w:shd w:val="clear" w:color="auto" w:fill="D9D9D9"/>
            <w:vAlign w:val="center"/>
          </w:tcPr>
          <w:p>
            <w:pPr>
              <w:snapToGrid w:val="0"/>
              <w:spacing w:before="72" w:beforeLines="30" w:after="72" w:afterLines="30" w:line="240" w:lineRule="auto"/>
              <w:jc w:val="center"/>
              <w:rPr>
                <w:sz w:val="18"/>
                <w:szCs w:val="18"/>
              </w:rPr>
            </w:pPr>
            <w:r>
              <w:rPr>
                <w:sz w:val="18"/>
                <w:szCs w:val="18"/>
              </w:rPr>
              <w:t>—</w:t>
            </w:r>
          </w:p>
        </w:tc>
        <w:tc>
          <w:tcPr>
            <w:tcW w:w="1101" w:type="dxa"/>
            <w:shd w:val="clear" w:color="auto" w:fill="D9D9D9"/>
            <w:vAlign w:val="center"/>
          </w:tcPr>
          <w:p>
            <w:pPr>
              <w:snapToGrid w:val="0"/>
              <w:spacing w:before="72" w:beforeLines="30" w:after="72" w:afterLines="30" w:line="240" w:lineRule="auto"/>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3" w:type="dxa"/>
            <w:bottom w:w="0" w:type="dxa"/>
            <w:right w:w="43" w:type="dxa"/>
          </w:tblCellMar>
        </w:tblPrEx>
        <w:trPr>
          <w:trHeight w:val="576" w:hRule="atLeast"/>
        </w:trPr>
        <w:tc>
          <w:tcPr>
            <w:tcW w:w="1161" w:type="dxa"/>
            <w:vMerge w:val="continue"/>
          </w:tcPr>
          <w:p>
            <w:pPr>
              <w:snapToGrid w:val="0"/>
              <w:spacing w:before="72" w:beforeLines="30" w:after="72" w:afterLines="30" w:line="240" w:lineRule="auto"/>
              <w:rPr>
                <w:sz w:val="18"/>
                <w:szCs w:val="18"/>
              </w:rPr>
            </w:pPr>
          </w:p>
        </w:tc>
        <w:tc>
          <w:tcPr>
            <w:tcW w:w="360" w:type="dxa"/>
            <w:vAlign w:val="center"/>
          </w:tcPr>
          <w:p>
            <w:pPr>
              <w:snapToGrid w:val="0"/>
              <w:spacing w:before="72" w:beforeLines="30" w:after="72" w:afterLines="30" w:line="240" w:lineRule="auto"/>
              <w:jc w:val="center"/>
              <w:rPr>
                <w:sz w:val="18"/>
                <w:szCs w:val="18"/>
              </w:rPr>
            </w:pPr>
            <w:r>
              <w:rPr>
                <w:sz w:val="18"/>
                <w:szCs w:val="18"/>
              </w:rPr>
              <w:t>13</w:t>
            </w:r>
          </w:p>
        </w:tc>
        <w:tc>
          <w:tcPr>
            <w:tcW w:w="3960" w:type="dxa"/>
            <w:gridSpan w:val="2"/>
            <w:vAlign w:val="center"/>
          </w:tcPr>
          <w:p>
            <w:pPr>
              <w:snapToGrid w:val="0"/>
              <w:spacing w:before="72" w:beforeLines="30" w:after="72" w:afterLines="30" w:line="240" w:lineRule="auto"/>
              <w:rPr>
                <w:b/>
                <w:bCs/>
                <w:sz w:val="18"/>
                <w:szCs w:val="18"/>
              </w:rPr>
            </w:pPr>
            <w:r>
              <w:rPr>
                <w:b/>
                <w:bCs/>
                <w:sz w:val="18"/>
                <w:szCs w:val="18"/>
              </w:rPr>
              <w:t>Outstanding overseas standard warrants at end of current month</w:t>
            </w:r>
          </w:p>
        </w:tc>
        <w:tc>
          <w:tcPr>
            <w:tcW w:w="1080" w:type="dxa"/>
            <w:vAlign w:val="center"/>
          </w:tcPr>
          <w:p>
            <w:pPr>
              <w:snapToGrid w:val="0"/>
              <w:spacing w:before="72" w:beforeLines="30" w:after="72" w:afterLines="30" w:line="240" w:lineRule="auto"/>
              <w:jc w:val="center"/>
              <w:rPr>
                <w:sz w:val="18"/>
                <w:szCs w:val="18"/>
              </w:rPr>
            </w:pPr>
          </w:p>
        </w:tc>
        <w:tc>
          <w:tcPr>
            <w:tcW w:w="1080" w:type="dxa"/>
            <w:shd w:val="clear" w:color="auto" w:fill="D9D9D9"/>
            <w:vAlign w:val="center"/>
          </w:tcPr>
          <w:p>
            <w:pPr>
              <w:snapToGrid w:val="0"/>
              <w:spacing w:before="72" w:beforeLines="30" w:after="72" w:afterLines="30" w:line="240" w:lineRule="auto"/>
              <w:jc w:val="center"/>
              <w:rPr>
                <w:sz w:val="18"/>
                <w:szCs w:val="18"/>
              </w:rPr>
            </w:pPr>
            <w:r>
              <w:rPr>
                <w:sz w:val="18"/>
                <w:szCs w:val="18"/>
              </w:rPr>
              <w:t>—</w:t>
            </w:r>
          </w:p>
        </w:tc>
        <w:tc>
          <w:tcPr>
            <w:tcW w:w="1101" w:type="dxa"/>
            <w:shd w:val="clear" w:color="auto" w:fill="D9D9D9"/>
            <w:vAlign w:val="center"/>
          </w:tcPr>
          <w:p>
            <w:pPr>
              <w:snapToGrid w:val="0"/>
              <w:spacing w:before="72" w:beforeLines="30" w:after="72" w:afterLines="30" w:line="240" w:lineRule="auto"/>
              <w:jc w:val="center"/>
              <w:rPr>
                <w:sz w:val="18"/>
                <w:szCs w:val="18"/>
              </w:rPr>
            </w:pPr>
            <w:r>
              <w:rPr>
                <w:sz w:val="18"/>
                <w:szCs w:val="18"/>
              </w:rPr>
              <w:t>—</w:t>
            </w:r>
          </w:p>
        </w:tc>
      </w:tr>
    </w:tbl>
    <w:p>
      <w:pPr>
        <w:snapToGrid w:val="0"/>
        <w:spacing w:after="240" w:afterLines="100"/>
        <w:ind w:left="274" w:hanging="274"/>
        <w:rPr>
          <w:sz w:val="18"/>
          <w:szCs w:val="18"/>
        </w:rPr>
      </w:pPr>
    </w:p>
    <w:p>
      <w:pPr>
        <w:snapToGrid w:val="0"/>
        <w:spacing w:after="120" w:afterLines="50"/>
        <w:ind w:left="274" w:hanging="274"/>
        <w:rPr>
          <w:sz w:val="18"/>
          <w:szCs w:val="18"/>
        </w:rPr>
      </w:pPr>
      <w:r>
        <w:rPr>
          <w:b/>
          <w:bCs/>
          <w:sz w:val="18"/>
          <w:szCs w:val="18"/>
        </w:rPr>
        <w:t>Cross-Border Delivery</w:t>
      </w:r>
      <w:r>
        <w:rPr>
          <w:sz w:val="18"/>
          <w:szCs w:val="18"/>
        </w:rPr>
        <w:t>:</w:t>
      </w:r>
      <w:r>
        <w:rPr>
          <w:sz w:val="18"/>
          <w:szCs w:val="18"/>
        </w:rPr>
        <w:tab/>
      </w:r>
      <w:r>
        <w:rPr>
          <w:sz w:val="18"/>
          <w:szCs w:val="18"/>
        </w:rPr>
        <w:t>For total quantity and total amount, (1) = (2) + (3) = (4)</w:t>
      </w:r>
    </w:p>
    <w:p>
      <w:pPr>
        <w:snapToGrid w:val="0"/>
        <w:spacing w:after="120" w:afterLines="50"/>
        <w:ind w:left="274" w:hanging="274"/>
        <w:rPr>
          <w:sz w:val="18"/>
          <w:szCs w:val="18"/>
        </w:rPr>
      </w:pPr>
      <w:r>
        <w:rPr>
          <w:b/>
          <w:bCs/>
          <w:sz w:val="18"/>
          <w:szCs w:val="18"/>
        </w:rPr>
        <w:t>Load-in</w:t>
      </w:r>
      <w:r>
        <w:rPr>
          <w:sz w:val="18"/>
          <w:szCs w:val="18"/>
        </w:rPr>
        <w:t>:</w:t>
      </w:r>
      <w:r>
        <w:rPr>
          <w:sz w:val="18"/>
          <w:szCs w:val="18"/>
        </w:rPr>
        <w:tab/>
      </w:r>
      <w:r>
        <w:rPr>
          <w:sz w:val="18"/>
          <w:szCs w:val="18"/>
        </w:rPr>
        <w:tab/>
      </w:r>
      <w:r>
        <w:rPr>
          <w:sz w:val="18"/>
          <w:szCs w:val="18"/>
        </w:rPr>
        <w:tab/>
      </w:r>
      <w:r>
        <w:rPr>
          <w:sz w:val="18"/>
          <w:szCs w:val="18"/>
        </w:rPr>
        <w:t>For total quantity, (5) = (6)</w:t>
      </w:r>
    </w:p>
    <w:p>
      <w:pPr>
        <w:snapToGrid w:val="0"/>
        <w:spacing w:after="120" w:afterLines="50"/>
        <w:ind w:left="2160" w:hanging="2160"/>
        <w:rPr>
          <w:sz w:val="18"/>
          <w:szCs w:val="18"/>
        </w:rPr>
      </w:pPr>
      <w:r>
        <w:rPr>
          <w:b/>
          <w:bCs/>
          <w:sz w:val="18"/>
          <w:szCs w:val="18"/>
        </w:rPr>
        <w:t>Load</w:t>
      </w:r>
      <w:r>
        <w:rPr>
          <w:sz w:val="18"/>
          <w:szCs w:val="18"/>
        </w:rPr>
        <w:t>-</w:t>
      </w:r>
      <w:r>
        <w:rPr>
          <w:b/>
          <w:bCs/>
          <w:sz w:val="18"/>
          <w:szCs w:val="18"/>
        </w:rPr>
        <w:t>out</w:t>
      </w:r>
      <w:r>
        <w:rPr>
          <w:sz w:val="18"/>
          <w:szCs w:val="18"/>
        </w:rPr>
        <w:t>:</w:t>
      </w:r>
      <w:r>
        <w:rPr>
          <w:sz w:val="18"/>
          <w:szCs w:val="18"/>
        </w:rPr>
        <w:tab/>
      </w:r>
      <w:r>
        <w:rPr>
          <w:sz w:val="18"/>
          <w:szCs w:val="18"/>
        </w:rPr>
        <w:t>For total quantity, (7) = (8) + (9) + (10) + (11), (8) + (9) + (10) = (3), and (11) = (2)</w:t>
      </w:r>
    </w:p>
    <w:p>
      <w:pPr>
        <w:snapToGrid w:val="0"/>
        <w:spacing w:after="240" w:afterLines="100"/>
        <w:ind w:left="2160" w:hanging="2160"/>
        <w:rPr>
          <w:sz w:val="18"/>
          <w:szCs w:val="18"/>
        </w:rPr>
      </w:pPr>
      <w:r>
        <w:rPr>
          <w:b/>
          <w:bCs/>
          <w:sz w:val="18"/>
          <w:szCs w:val="18"/>
        </w:rPr>
        <w:t>Overseas Standard Warrant Balance</w:t>
      </w:r>
      <w:r>
        <w:rPr>
          <w:sz w:val="18"/>
          <w:szCs w:val="18"/>
        </w:rPr>
        <w:t xml:space="preserve">: For total quantity, (12) </w:t>
      </w:r>
      <w:r>
        <w:rPr>
          <w:rFonts w:cs="Times New Roman"/>
          <w:sz w:val="18"/>
          <w:szCs w:val="18"/>
        </w:rPr>
        <w:t>−</w:t>
      </w:r>
      <w:r>
        <w:rPr>
          <w:sz w:val="18"/>
          <w:szCs w:val="18"/>
        </w:rPr>
        <w:t xml:space="preserve"> (1) + (5) = (13)</w:t>
      </w:r>
    </w:p>
    <w:p>
      <w:pPr>
        <w:snapToGrid w:val="0"/>
        <w:spacing w:after="240" w:afterLines="100"/>
        <w:ind w:left="2160" w:hanging="2160"/>
        <w:rPr>
          <w:sz w:val="18"/>
          <w:szCs w:val="18"/>
        </w:rPr>
        <w:sectPr>
          <w:pgSz w:w="11906" w:h="16838"/>
          <w:pgMar w:top="1440" w:right="1440" w:bottom="1440" w:left="1440" w:header="720" w:footer="720" w:gutter="0"/>
          <w:cols w:space="720" w:num="1"/>
          <w:docGrid w:linePitch="360" w:charSpace="0"/>
        </w:sectPr>
      </w:pPr>
    </w:p>
    <w:p>
      <w:pPr>
        <w:snapToGrid w:val="0"/>
        <w:spacing w:after="120" w:afterLines="50"/>
        <w:ind w:left="2160" w:hanging="2160"/>
        <w:jc w:val="center"/>
        <w:rPr>
          <w:sz w:val="20"/>
          <w:szCs w:val="20"/>
        </w:rPr>
      </w:pPr>
      <w:r>
        <w:rPr>
          <w:sz w:val="20"/>
          <w:szCs w:val="20"/>
        </w:rPr>
        <w:t>Shanghai International Energy Exchange</w:t>
      </w:r>
    </w:p>
    <w:p>
      <w:pPr>
        <w:snapToGrid w:val="0"/>
        <w:spacing w:after="240" w:afterLines="100"/>
        <w:ind w:left="2160" w:hanging="2160"/>
        <w:jc w:val="center"/>
        <w:rPr>
          <w:b/>
          <w:bCs/>
        </w:rPr>
      </w:pPr>
      <w:r>
        <w:rPr>
          <w:b/>
          <w:bCs/>
        </w:rPr>
        <w:t>Detailed Information Form for Cross-Border Delivery against TSR 20 Futures</w:t>
      </w:r>
    </w:p>
    <w:p>
      <w:pPr>
        <w:snapToGrid w:val="0"/>
        <w:spacing w:after="60"/>
        <w:rPr>
          <w:b/>
          <w:bCs/>
          <w:sz w:val="22"/>
          <w:szCs w:val="22"/>
        </w:rPr>
      </w:pPr>
      <w:r>
        <w:rPr>
          <w:b/>
          <w:bCs/>
          <w:sz w:val="22"/>
          <w:szCs w:val="22"/>
        </w:rPr>
        <w:t xml:space="preserve">Reporting Date: </w:t>
      </w:r>
      <w:r>
        <w:rPr>
          <w:b/>
          <w:bCs/>
          <w:sz w:val="22"/>
          <w:szCs w:val="22"/>
          <w:u w:val="single"/>
        </w:rPr>
        <w:tab/>
      </w:r>
      <w:r>
        <w:rPr>
          <w:b/>
          <w:bCs/>
          <w:sz w:val="22"/>
          <w:szCs w:val="22"/>
          <w:u w:val="single"/>
        </w:rPr>
        <w:tab/>
      </w:r>
      <w:r>
        <w:rPr>
          <w:b/>
          <w:bCs/>
          <w:sz w:val="22"/>
          <w:szCs w:val="22"/>
        </w:rPr>
        <w:t xml:space="preserve"> (YYYY/MM)</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8" w:type="dxa"/>
          <w:bottom w:w="0" w:type="dxa"/>
          <w:right w:w="58" w:type="dxa"/>
        </w:tblCellMar>
      </w:tblPr>
      <w:tblGrid>
        <w:gridCol w:w="895"/>
        <w:gridCol w:w="1893"/>
        <w:gridCol w:w="1395"/>
        <w:gridCol w:w="1395"/>
        <w:gridCol w:w="1395"/>
        <w:gridCol w:w="1395"/>
        <w:gridCol w:w="1395"/>
        <w:gridCol w:w="1395"/>
        <w:gridCol w:w="139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8" w:type="dxa"/>
            <w:bottom w:w="0" w:type="dxa"/>
            <w:right w:w="58" w:type="dxa"/>
          </w:tblCellMar>
        </w:tblPrEx>
        <w:tc>
          <w:tcPr>
            <w:tcW w:w="895" w:type="dxa"/>
            <w:shd w:val="clear" w:color="auto" w:fill="D9D9D9"/>
            <w:vAlign w:val="center"/>
          </w:tcPr>
          <w:p>
            <w:pPr>
              <w:snapToGrid w:val="0"/>
              <w:spacing w:before="72" w:beforeLines="30" w:after="72" w:afterLines="30" w:line="240" w:lineRule="auto"/>
              <w:jc w:val="center"/>
              <w:rPr>
                <w:b/>
                <w:bCs/>
                <w:sz w:val="18"/>
                <w:szCs w:val="18"/>
              </w:rPr>
            </w:pPr>
            <w:r>
              <w:rPr>
                <w:b/>
                <w:bCs/>
                <w:sz w:val="18"/>
                <w:szCs w:val="18"/>
              </w:rPr>
              <w:t>No.</w:t>
            </w:r>
          </w:p>
        </w:tc>
        <w:tc>
          <w:tcPr>
            <w:tcW w:w="1893" w:type="dxa"/>
            <w:shd w:val="clear" w:color="auto" w:fill="D9D9D9"/>
            <w:vAlign w:val="center"/>
          </w:tcPr>
          <w:p>
            <w:pPr>
              <w:snapToGrid w:val="0"/>
              <w:spacing w:before="72" w:beforeLines="30" w:after="72" w:afterLines="30" w:line="240" w:lineRule="auto"/>
              <w:jc w:val="center"/>
              <w:rPr>
                <w:b/>
                <w:bCs/>
                <w:sz w:val="18"/>
                <w:szCs w:val="18"/>
              </w:rPr>
            </w:pPr>
            <w:r>
              <w:rPr>
                <w:b/>
                <w:bCs/>
                <w:sz w:val="18"/>
                <w:szCs w:val="18"/>
              </w:rPr>
              <w:t>Delivery Enterprise</w:t>
            </w:r>
          </w:p>
        </w:tc>
        <w:tc>
          <w:tcPr>
            <w:tcW w:w="1395" w:type="dxa"/>
            <w:shd w:val="clear" w:color="auto" w:fill="D9D9D9"/>
            <w:vAlign w:val="center"/>
          </w:tcPr>
          <w:p>
            <w:pPr>
              <w:snapToGrid w:val="0"/>
              <w:spacing w:before="72" w:beforeLines="30" w:after="72" w:afterLines="30" w:line="240" w:lineRule="auto"/>
              <w:jc w:val="center"/>
              <w:rPr>
                <w:b/>
                <w:bCs/>
                <w:sz w:val="18"/>
                <w:szCs w:val="18"/>
              </w:rPr>
            </w:pPr>
            <w:r>
              <w:rPr>
                <w:b/>
                <w:bCs/>
                <w:sz w:val="18"/>
                <w:szCs w:val="18"/>
              </w:rPr>
              <w:t>Organization Code</w:t>
            </w:r>
          </w:p>
        </w:tc>
        <w:tc>
          <w:tcPr>
            <w:tcW w:w="1395" w:type="dxa"/>
            <w:shd w:val="clear" w:color="auto" w:fill="D9D9D9"/>
            <w:vAlign w:val="center"/>
          </w:tcPr>
          <w:p>
            <w:pPr>
              <w:snapToGrid w:val="0"/>
              <w:spacing w:before="72" w:beforeLines="30" w:after="72" w:afterLines="30" w:line="240" w:lineRule="auto"/>
              <w:jc w:val="center"/>
              <w:rPr>
                <w:b/>
                <w:bCs/>
                <w:sz w:val="18"/>
                <w:szCs w:val="18"/>
              </w:rPr>
            </w:pPr>
            <w:r>
              <w:rPr>
                <w:b/>
                <w:bCs/>
                <w:sz w:val="18"/>
                <w:szCs w:val="18"/>
              </w:rPr>
              <w:t>Local SAFE Branch</w:t>
            </w:r>
          </w:p>
        </w:tc>
        <w:tc>
          <w:tcPr>
            <w:tcW w:w="1395" w:type="dxa"/>
            <w:shd w:val="clear" w:color="auto" w:fill="D9D9D9"/>
            <w:vAlign w:val="center"/>
          </w:tcPr>
          <w:p>
            <w:pPr>
              <w:snapToGrid w:val="0"/>
              <w:spacing w:before="72" w:beforeLines="30" w:after="72" w:afterLines="30" w:line="240" w:lineRule="auto"/>
              <w:jc w:val="center"/>
              <w:rPr>
                <w:b/>
                <w:bCs/>
                <w:sz w:val="18"/>
                <w:szCs w:val="18"/>
              </w:rPr>
            </w:pPr>
            <w:r>
              <w:rPr>
                <w:b/>
                <w:bCs/>
                <w:sz w:val="18"/>
                <w:szCs w:val="18"/>
              </w:rPr>
              <w:t>Delivery Date</w:t>
            </w:r>
            <w:r>
              <w:rPr>
                <w:b/>
                <w:bCs/>
                <w:sz w:val="18"/>
                <w:szCs w:val="18"/>
              </w:rPr>
              <w:br w:type="textWrapping"/>
            </w:r>
            <w:r>
              <w:rPr>
                <w:b/>
                <w:bCs/>
                <w:sz w:val="18"/>
                <w:szCs w:val="18"/>
              </w:rPr>
              <w:t>(YYYY-MM-DD)</w:t>
            </w:r>
          </w:p>
        </w:tc>
        <w:tc>
          <w:tcPr>
            <w:tcW w:w="1395" w:type="dxa"/>
            <w:shd w:val="clear" w:color="auto" w:fill="D9D9D9"/>
            <w:vAlign w:val="center"/>
          </w:tcPr>
          <w:p>
            <w:pPr>
              <w:snapToGrid w:val="0"/>
              <w:spacing w:before="72" w:beforeLines="30" w:after="72" w:afterLines="30" w:line="240" w:lineRule="auto"/>
              <w:jc w:val="center"/>
              <w:rPr>
                <w:b/>
                <w:bCs/>
                <w:sz w:val="18"/>
                <w:szCs w:val="18"/>
              </w:rPr>
            </w:pPr>
            <w:r>
              <w:rPr>
                <w:b/>
                <w:bCs/>
                <w:sz w:val="18"/>
                <w:szCs w:val="18"/>
              </w:rPr>
              <w:t>Delivery Storage Facility</w:t>
            </w:r>
          </w:p>
        </w:tc>
        <w:tc>
          <w:tcPr>
            <w:tcW w:w="1395" w:type="dxa"/>
            <w:shd w:val="clear" w:color="auto" w:fill="D9D9D9"/>
            <w:vAlign w:val="center"/>
          </w:tcPr>
          <w:p>
            <w:pPr>
              <w:snapToGrid w:val="0"/>
              <w:spacing w:before="72" w:beforeLines="30" w:after="72" w:afterLines="30" w:line="240" w:lineRule="auto"/>
              <w:jc w:val="center"/>
              <w:rPr>
                <w:b/>
                <w:bCs/>
                <w:sz w:val="18"/>
                <w:szCs w:val="18"/>
              </w:rPr>
            </w:pPr>
            <w:r>
              <w:rPr>
                <w:b/>
                <w:bCs/>
                <w:sz w:val="18"/>
                <w:szCs w:val="18"/>
              </w:rPr>
              <w:t>Cross-Border Delivery Settlement Statement No.</w:t>
            </w:r>
          </w:p>
        </w:tc>
        <w:tc>
          <w:tcPr>
            <w:tcW w:w="1395" w:type="dxa"/>
            <w:shd w:val="clear" w:color="auto" w:fill="D9D9D9"/>
            <w:vAlign w:val="center"/>
          </w:tcPr>
          <w:p>
            <w:pPr>
              <w:snapToGrid w:val="0"/>
              <w:spacing w:before="72" w:beforeLines="30" w:after="72" w:afterLines="30" w:line="240" w:lineRule="auto"/>
              <w:jc w:val="center"/>
              <w:rPr>
                <w:b/>
                <w:bCs/>
                <w:sz w:val="18"/>
                <w:szCs w:val="18"/>
              </w:rPr>
            </w:pPr>
            <w:r>
              <w:rPr>
                <w:b/>
                <w:bCs/>
                <w:sz w:val="18"/>
                <w:szCs w:val="18"/>
              </w:rPr>
              <w:t>Delivery Quantity (metric ton)</w:t>
            </w:r>
          </w:p>
        </w:tc>
        <w:tc>
          <w:tcPr>
            <w:tcW w:w="1395" w:type="dxa"/>
            <w:shd w:val="clear" w:color="auto" w:fill="D9D9D9"/>
            <w:vAlign w:val="center"/>
          </w:tcPr>
          <w:p>
            <w:pPr>
              <w:snapToGrid w:val="0"/>
              <w:spacing w:before="72" w:beforeLines="30" w:after="72" w:afterLines="30" w:line="240" w:lineRule="auto"/>
              <w:jc w:val="center"/>
              <w:rPr>
                <w:b/>
                <w:bCs/>
                <w:sz w:val="18"/>
                <w:szCs w:val="18"/>
              </w:rPr>
            </w:pPr>
            <w:r>
              <w:rPr>
                <w:b/>
                <w:bCs/>
                <w:sz w:val="18"/>
                <w:szCs w:val="18"/>
              </w:rPr>
              <w:t>Unit Price</w:t>
            </w:r>
            <w:r>
              <w:rPr>
                <w:b/>
                <w:bCs/>
                <w:sz w:val="18"/>
                <w:szCs w:val="18"/>
              </w:rPr>
              <w:br w:type="textWrapping"/>
            </w:r>
            <w:r>
              <w:rPr>
                <w:b/>
                <w:bCs/>
                <w:sz w:val="18"/>
                <w:szCs w:val="18"/>
              </w:rPr>
              <w:t>(RMB yuan)</w:t>
            </w:r>
          </w:p>
        </w:tc>
        <w:tc>
          <w:tcPr>
            <w:tcW w:w="1395" w:type="dxa"/>
            <w:shd w:val="clear" w:color="auto" w:fill="D9D9D9"/>
            <w:vAlign w:val="center"/>
          </w:tcPr>
          <w:p>
            <w:pPr>
              <w:snapToGrid w:val="0"/>
              <w:spacing w:before="72" w:beforeLines="30" w:after="72" w:afterLines="30" w:line="240" w:lineRule="auto"/>
              <w:jc w:val="center"/>
              <w:rPr>
                <w:b/>
                <w:bCs/>
                <w:sz w:val="18"/>
                <w:szCs w:val="18"/>
              </w:rPr>
            </w:pPr>
            <w:r>
              <w:rPr>
                <w:b/>
                <w:bCs/>
                <w:sz w:val="18"/>
                <w:szCs w:val="18"/>
              </w:rPr>
              <w:t>Delivery Contract Amount</w:t>
            </w:r>
            <w:r>
              <w:rPr>
                <w:b/>
                <w:bCs/>
                <w:sz w:val="18"/>
                <w:szCs w:val="18"/>
              </w:rPr>
              <w:br w:type="textWrapping"/>
            </w:r>
            <w:r>
              <w:rPr>
                <w:b/>
                <w:bCs/>
                <w:sz w:val="18"/>
                <w:szCs w:val="18"/>
              </w:rPr>
              <w:t>(RMB yuan)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8" w:type="dxa"/>
            <w:bottom w:w="0" w:type="dxa"/>
            <w:right w:w="58" w:type="dxa"/>
          </w:tblCellMar>
        </w:tblPrEx>
        <w:tc>
          <w:tcPr>
            <w:tcW w:w="895" w:type="dxa"/>
            <w:vAlign w:val="center"/>
          </w:tcPr>
          <w:p>
            <w:pPr>
              <w:snapToGrid w:val="0"/>
              <w:spacing w:before="72" w:beforeLines="30" w:after="72" w:afterLines="30" w:line="240" w:lineRule="auto"/>
              <w:jc w:val="center"/>
              <w:rPr>
                <w:sz w:val="18"/>
                <w:szCs w:val="18"/>
              </w:rPr>
            </w:pPr>
            <w:r>
              <w:rPr>
                <w:sz w:val="18"/>
                <w:szCs w:val="18"/>
              </w:rPr>
              <w:t>1</w:t>
            </w:r>
          </w:p>
        </w:tc>
        <w:tc>
          <w:tcPr>
            <w:tcW w:w="1893"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8" w:type="dxa"/>
            <w:bottom w:w="0" w:type="dxa"/>
            <w:right w:w="58" w:type="dxa"/>
          </w:tblCellMar>
        </w:tblPrEx>
        <w:tc>
          <w:tcPr>
            <w:tcW w:w="895" w:type="dxa"/>
            <w:vAlign w:val="center"/>
          </w:tcPr>
          <w:p>
            <w:pPr>
              <w:snapToGrid w:val="0"/>
              <w:spacing w:before="72" w:beforeLines="30" w:after="72" w:afterLines="30" w:line="240" w:lineRule="auto"/>
              <w:jc w:val="center"/>
              <w:rPr>
                <w:sz w:val="18"/>
                <w:szCs w:val="18"/>
              </w:rPr>
            </w:pPr>
            <w:r>
              <w:rPr>
                <w:sz w:val="18"/>
                <w:szCs w:val="18"/>
              </w:rPr>
              <w:t>2</w:t>
            </w:r>
          </w:p>
        </w:tc>
        <w:tc>
          <w:tcPr>
            <w:tcW w:w="1893"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5" w:type="dxa"/>
            <w:vAlign w:val="center"/>
          </w:tcPr>
          <w:p>
            <w:pPr>
              <w:snapToGrid w:val="0"/>
              <w:spacing w:before="72" w:beforeLines="30" w:after="72" w:afterLines="30" w:line="240" w:lineRule="auto"/>
              <w:jc w:val="center"/>
              <w:rPr>
                <w:sz w:val="18"/>
                <w:szCs w:val="18"/>
              </w:rPr>
            </w:pPr>
            <w:r>
              <w:rPr>
                <w:sz w:val="18"/>
                <w:szCs w:val="18"/>
              </w:rPr>
              <w:t>3</w:t>
            </w:r>
          </w:p>
        </w:tc>
        <w:tc>
          <w:tcPr>
            <w:tcW w:w="1893"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8" w:type="dxa"/>
            <w:bottom w:w="0" w:type="dxa"/>
            <w:right w:w="58" w:type="dxa"/>
          </w:tblCellMar>
        </w:tblPrEx>
        <w:tc>
          <w:tcPr>
            <w:tcW w:w="895" w:type="dxa"/>
            <w:vAlign w:val="center"/>
          </w:tcPr>
          <w:p>
            <w:pPr>
              <w:snapToGrid w:val="0"/>
              <w:spacing w:before="72" w:beforeLines="30" w:after="72" w:afterLines="30" w:line="240" w:lineRule="auto"/>
              <w:jc w:val="center"/>
              <w:rPr>
                <w:sz w:val="18"/>
                <w:szCs w:val="18"/>
              </w:rPr>
            </w:pPr>
            <w:r>
              <w:rPr>
                <w:sz w:val="18"/>
                <w:szCs w:val="18"/>
              </w:rPr>
              <w:t>4</w:t>
            </w:r>
          </w:p>
        </w:tc>
        <w:tc>
          <w:tcPr>
            <w:tcW w:w="1893"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8" w:type="dxa"/>
            <w:bottom w:w="0" w:type="dxa"/>
            <w:right w:w="58" w:type="dxa"/>
          </w:tblCellMar>
        </w:tblPrEx>
        <w:tc>
          <w:tcPr>
            <w:tcW w:w="895" w:type="dxa"/>
            <w:vAlign w:val="center"/>
          </w:tcPr>
          <w:p>
            <w:pPr>
              <w:snapToGrid w:val="0"/>
              <w:spacing w:before="72" w:beforeLines="30" w:after="72" w:afterLines="30" w:line="240" w:lineRule="auto"/>
              <w:jc w:val="center"/>
              <w:rPr>
                <w:sz w:val="18"/>
                <w:szCs w:val="18"/>
              </w:rPr>
            </w:pPr>
            <w:r>
              <w:rPr>
                <w:sz w:val="18"/>
                <w:szCs w:val="18"/>
              </w:rPr>
              <w:t>5</w:t>
            </w:r>
          </w:p>
        </w:tc>
        <w:tc>
          <w:tcPr>
            <w:tcW w:w="1893"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8" w:type="dxa"/>
            <w:bottom w:w="0" w:type="dxa"/>
            <w:right w:w="58" w:type="dxa"/>
          </w:tblCellMar>
        </w:tblPrEx>
        <w:tc>
          <w:tcPr>
            <w:tcW w:w="895" w:type="dxa"/>
            <w:vAlign w:val="center"/>
          </w:tcPr>
          <w:p>
            <w:pPr>
              <w:snapToGrid w:val="0"/>
              <w:spacing w:before="72" w:beforeLines="30" w:after="72" w:afterLines="30" w:line="240" w:lineRule="auto"/>
              <w:jc w:val="center"/>
              <w:rPr>
                <w:sz w:val="18"/>
                <w:szCs w:val="18"/>
              </w:rPr>
            </w:pPr>
            <w:r>
              <w:rPr>
                <w:sz w:val="18"/>
                <w:szCs w:val="18"/>
              </w:rPr>
              <w:t>…</w:t>
            </w:r>
          </w:p>
        </w:tc>
        <w:tc>
          <w:tcPr>
            <w:tcW w:w="1893"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c>
          <w:tcPr>
            <w:tcW w:w="1395" w:type="dxa"/>
            <w:vAlign w:val="center"/>
          </w:tcPr>
          <w:p>
            <w:pPr>
              <w:snapToGrid w:val="0"/>
              <w:spacing w:before="72" w:beforeLines="30" w:after="72" w:afterLines="30" w:line="240" w:lineRule="auto"/>
              <w:jc w:val="center"/>
              <w:rPr>
                <w:sz w:val="18"/>
                <w:szCs w:val="18"/>
              </w:rPr>
            </w:pPr>
          </w:p>
        </w:tc>
      </w:tr>
    </w:tbl>
    <w:p>
      <w:pPr>
        <w:snapToGrid w:val="0"/>
        <w:spacing w:before="120" w:beforeLines="50" w:after="120" w:afterLines="50"/>
        <w:rPr>
          <w:sz w:val="22"/>
          <w:szCs w:val="22"/>
        </w:rPr>
      </w:pPr>
      <w:r>
        <w:rPr>
          <w:sz w:val="22"/>
          <w:szCs w:val="22"/>
        </w:rPr>
        <w:t xml:space="preserve">Note: </w:t>
      </w:r>
    </w:p>
    <w:p>
      <w:pPr>
        <w:snapToGrid w:val="0"/>
        <w:spacing w:after="240" w:afterLines="100"/>
        <w:rPr>
          <w:sz w:val="22"/>
          <w:szCs w:val="22"/>
        </w:rPr>
      </w:pPr>
      <w:r>
        <w:rPr>
          <w:sz w:val="22"/>
          <w:szCs w:val="22"/>
        </w:rPr>
        <w:t>Schedule 1 is the detailed delivery information form submitted by the Shanghai International Energy Exchange to the SAFE Shanghai Branch. The SAFE Shanghai Branch is to forward the information of non-Shanghai-based enterprises to the local (provincial-level) SAFE branch of the delivery enterprise’s location. Relevant SAFE branches will perform the subsequent end-to-end tracking of the offshore goods based on this schedule.</w:t>
      </w:r>
    </w:p>
    <w:p>
      <w:pPr>
        <w:snapToGrid w:val="0"/>
        <w:spacing w:after="240" w:afterLines="100"/>
      </w:pPr>
    </w:p>
    <w:p>
      <w:pPr>
        <w:snapToGrid w:val="0"/>
        <w:spacing w:after="240" w:afterLines="100"/>
        <w:sectPr>
          <w:pgSz w:w="16838" w:h="11906" w:orient="landscape"/>
          <w:pgMar w:top="1440" w:right="1440" w:bottom="1440" w:left="1440" w:header="720" w:footer="720" w:gutter="0"/>
          <w:cols w:space="720" w:num="1"/>
          <w:docGrid w:linePitch="360" w:charSpace="0"/>
        </w:sectPr>
      </w:pPr>
    </w:p>
    <w:p>
      <w:pPr>
        <w:snapToGrid w:val="0"/>
        <w:spacing w:after="120" w:afterLines="50"/>
        <w:rPr>
          <w:sz w:val="20"/>
          <w:szCs w:val="20"/>
        </w:rPr>
      </w:pPr>
      <w:r>
        <w:rPr>
          <w:sz w:val="20"/>
          <w:szCs w:val="20"/>
        </w:rPr>
        <w:t>Annex 3</w:t>
      </w:r>
    </w:p>
    <w:p>
      <w:pPr>
        <w:snapToGrid w:val="0"/>
        <w:spacing w:after="120" w:afterLines="50"/>
        <w:jc w:val="center"/>
        <w:rPr>
          <w:b/>
          <w:bCs/>
        </w:rPr>
      </w:pPr>
      <w:r>
        <w:rPr>
          <w:b/>
          <w:bCs/>
        </w:rPr>
        <w:t xml:space="preserve">Status of Offshore Goods Following </w:t>
      </w:r>
      <w:r>
        <w:rPr>
          <w:rFonts w:hint="eastAsia"/>
          <w:b/>
          <w:bCs/>
        </w:rPr>
        <w:t>Cross-border</w:t>
      </w:r>
      <w:r>
        <w:rPr>
          <w:b/>
          <w:bCs/>
        </w:rPr>
        <w:t xml:space="preserve"> Delivery Against TSR 20 Futures by Domestic Trader</w:t>
      </w:r>
    </w:p>
    <w:p>
      <w:pPr>
        <w:snapToGrid w:val="0"/>
        <w:spacing w:after="60"/>
        <w:rPr>
          <w:b/>
          <w:bCs/>
          <w:sz w:val="20"/>
          <w:szCs w:val="20"/>
        </w:rPr>
      </w:pPr>
      <w:r>
        <w:rPr>
          <w:b/>
          <w:bCs/>
          <w:sz w:val="20"/>
          <w:szCs w:val="20"/>
        </w:rPr>
        <w:t xml:space="preserve">Reporting Date: </w:t>
      </w:r>
      <w:r>
        <w:rPr>
          <w:b/>
          <w:bCs/>
          <w:sz w:val="20"/>
          <w:szCs w:val="20"/>
          <w:u w:val="single"/>
        </w:rPr>
        <w:tab/>
      </w:r>
      <w:r>
        <w:rPr>
          <w:b/>
          <w:bCs/>
          <w:sz w:val="20"/>
          <w:szCs w:val="20"/>
          <w:u w:val="single"/>
        </w:rPr>
        <w:tab/>
      </w:r>
      <w:r>
        <w:rPr>
          <w:b/>
          <w:bCs/>
          <w:sz w:val="20"/>
          <w:szCs w:val="20"/>
        </w:rPr>
        <w:t xml:space="preserve"> (YYYY/MM)</w:t>
      </w:r>
      <w:r>
        <w:rPr>
          <w:b/>
          <w:bCs/>
          <w:sz w:val="20"/>
          <w:szCs w:val="20"/>
        </w:rPr>
        <w:tab/>
      </w:r>
      <w:r>
        <w:rPr>
          <w:b/>
          <w:bCs/>
          <w:sz w:val="20"/>
          <w:szCs w:val="20"/>
        </w:rPr>
        <w:tab/>
      </w:r>
      <w:r>
        <w:rPr>
          <w:b/>
          <w:bCs/>
          <w:sz w:val="20"/>
          <w:szCs w:val="20"/>
        </w:rPr>
        <w:tab/>
      </w:r>
      <w:r>
        <w:rPr>
          <w:b/>
          <w:bCs/>
          <w:sz w:val="20"/>
          <w:szCs w:val="20"/>
        </w:rPr>
        <w:t xml:space="preserve">Reporting Entity: </w:t>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p>
    <w:tbl>
      <w:tblPr>
        <w:tblStyle w:val="20"/>
        <w:tblW w:w="15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9" w:type="dxa"/>
          <w:bottom w:w="0" w:type="dxa"/>
          <w:right w:w="29" w:type="dxa"/>
        </w:tblCellMar>
      </w:tblPr>
      <w:tblGrid>
        <w:gridCol w:w="499"/>
        <w:gridCol w:w="499"/>
        <w:gridCol w:w="499"/>
        <w:gridCol w:w="499"/>
        <w:gridCol w:w="499"/>
        <w:gridCol w:w="500"/>
        <w:gridCol w:w="499"/>
        <w:gridCol w:w="499"/>
        <w:gridCol w:w="499"/>
        <w:gridCol w:w="499"/>
        <w:gridCol w:w="500"/>
        <w:gridCol w:w="499"/>
        <w:gridCol w:w="499"/>
        <w:gridCol w:w="499"/>
        <w:gridCol w:w="499"/>
        <w:gridCol w:w="500"/>
        <w:gridCol w:w="499"/>
        <w:gridCol w:w="499"/>
        <w:gridCol w:w="499"/>
        <w:gridCol w:w="499"/>
        <w:gridCol w:w="500"/>
        <w:gridCol w:w="499"/>
        <w:gridCol w:w="499"/>
        <w:gridCol w:w="499"/>
        <w:gridCol w:w="499"/>
        <w:gridCol w:w="500"/>
        <w:gridCol w:w="499"/>
        <w:gridCol w:w="499"/>
        <w:gridCol w:w="499"/>
        <w:gridCol w:w="499"/>
        <w:gridCol w:w="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499" w:type="dxa"/>
            <w:vMerge w:val="restart"/>
            <w:shd w:val="clear" w:color="auto" w:fill="D9D9D9"/>
            <w:vAlign w:val="center"/>
          </w:tcPr>
          <w:p>
            <w:pPr>
              <w:snapToGrid w:val="0"/>
              <w:spacing w:line="240" w:lineRule="auto"/>
              <w:jc w:val="center"/>
              <w:rPr>
                <w:b/>
                <w:bCs/>
                <w:sz w:val="18"/>
                <w:szCs w:val="18"/>
              </w:rPr>
            </w:pPr>
            <w:r>
              <w:rPr>
                <w:b/>
                <w:bCs/>
                <w:sz w:val="18"/>
                <w:szCs w:val="18"/>
              </w:rPr>
              <w:t>No.</w:t>
            </w:r>
          </w:p>
        </w:tc>
        <w:tc>
          <w:tcPr>
            <w:tcW w:w="4992" w:type="dxa"/>
            <w:gridSpan w:val="10"/>
            <w:shd w:val="clear" w:color="auto" w:fill="D9D9D9"/>
            <w:vAlign w:val="center"/>
          </w:tcPr>
          <w:p>
            <w:pPr>
              <w:snapToGrid w:val="0"/>
              <w:spacing w:line="240" w:lineRule="auto"/>
              <w:jc w:val="center"/>
              <w:rPr>
                <w:b/>
                <w:bCs/>
                <w:sz w:val="18"/>
                <w:szCs w:val="18"/>
              </w:rPr>
            </w:pPr>
            <w:r>
              <w:rPr>
                <w:b/>
                <w:bCs/>
                <w:sz w:val="18"/>
                <w:szCs w:val="18"/>
              </w:rPr>
              <w:t>[A] To Be Filled Out by the Domestic Trader or Non-FF Member Participating in Cross-Border Delivery against TSR 20 Futures</w:t>
            </w:r>
          </w:p>
        </w:tc>
        <w:tc>
          <w:tcPr>
            <w:tcW w:w="2995" w:type="dxa"/>
            <w:gridSpan w:val="6"/>
            <w:shd w:val="clear" w:color="auto" w:fill="E2EFDA"/>
            <w:vAlign w:val="center"/>
          </w:tcPr>
          <w:p>
            <w:pPr>
              <w:snapToGrid w:val="0"/>
              <w:spacing w:line="240" w:lineRule="auto"/>
              <w:jc w:val="center"/>
              <w:rPr>
                <w:b/>
                <w:bCs/>
                <w:sz w:val="18"/>
                <w:szCs w:val="18"/>
              </w:rPr>
            </w:pPr>
            <w:r>
              <w:rPr>
                <w:b/>
                <w:bCs/>
                <w:sz w:val="18"/>
                <w:szCs w:val="18"/>
              </w:rPr>
              <w:t>[B] Required If Load-Out Destination is “Import (Border Entry) through Customs Declaration”</w:t>
            </w:r>
          </w:p>
        </w:tc>
        <w:tc>
          <w:tcPr>
            <w:tcW w:w="1997" w:type="dxa"/>
            <w:gridSpan w:val="4"/>
            <w:shd w:val="clear" w:color="auto" w:fill="DDEBF7"/>
            <w:vAlign w:val="center"/>
          </w:tcPr>
          <w:p>
            <w:pPr>
              <w:snapToGrid w:val="0"/>
              <w:spacing w:line="240" w:lineRule="auto"/>
              <w:jc w:val="center"/>
              <w:rPr>
                <w:b/>
                <w:bCs/>
                <w:sz w:val="18"/>
                <w:szCs w:val="18"/>
              </w:rPr>
            </w:pPr>
            <w:r>
              <w:rPr>
                <w:b/>
                <w:bCs/>
                <w:sz w:val="18"/>
                <w:szCs w:val="18"/>
              </w:rPr>
              <w:t>[C] Required If Load-Out Destination is “Overseas Resale”</w:t>
            </w:r>
          </w:p>
        </w:tc>
        <w:tc>
          <w:tcPr>
            <w:tcW w:w="4992" w:type="dxa"/>
            <w:gridSpan w:val="10"/>
            <w:shd w:val="clear" w:color="auto" w:fill="FFF2CC"/>
            <w:vAlign w:val="center"/>
          </w:tcPr>
          <w:p>
            <w:pPr>
              <w:snapToGrid w:val="0"/>
              <w:spacing w:line="240" w:lineRule="auto"/>
              <w:jc w:val="center"/>
              <w:rPr>
                <w:b/>
                <w:bCs/>
                <w:sz w:val="18"/>
                <w:szCs w:val="18"/>
              </w:rPr>
            </w:pPr>
            <w:r>
              <w:rPr>
                <w:b/>
                <w:bCs/>
                <w:sz w:val="18"/>
                <w:szCs w:val="18"/>
              </w:rPr>
              <w:t>[D] Required if Load-Out Destination is “Domestic Resale”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cantSplit/>
          <w:trHeight w:val="4409" w:hRule="atLeast"/>
        </w:trPr>
        <w:tc>
          <w:tcPr>
            <w:tcW w:w="499" w:type="dxa"/>
            <w:vMerge w:val="continue"/>
            <w:shd w:val="clear" w:color="auto" w:fill="D9D9D9"/>
            <w:vAlign w:val="center"/>
          </w:tcPr>
          <w:p>
            <w:pPr>
              <w:snapToGrid w:val="0"/>
              <w:spacing w:line="240" w:lineRule="auto"/>
              <w:jc w:val="center"/>
              <w:rPr>
                <w:sz w:val="18"/>
                <w:szCs w:val="18"/>
              </w:rPr>
            </w:pPr>
          </w:p>
        </w:tc>
        <w:tc>
          <w:tcPr>
            <w:tcW w:w="499" w:type="dxa"/>
            <w:shd w:val="clear" w:color="auto" w:fill="D9D9D9"/>
            <w:textDirection w:val="btLr"/>
            <w:vAlign w:val="center"/>
          </w:tcPr>
          <w:p>
            <w:pPr>
              <w:snapToGrid w:val="0"/>
              <w:spacing w:line="216" w:lineRule="auto"/>
              <w:ind w:left="115" w:right="115"/>
              <w:jc w:val="center"/>
              <w:rPr>
                <w:sz w:val="16"/>
                <w:szCs w:val="16"/>
              </w:rPr>
            </w:pPr>
            <w:r>
              <w:rPr>
                <w:sz w:val="16"/>
                <w:szCs w:val="16"/>
              </w:rPr>
              <w:t>Enterprise Name</w:t>
            </w:r>
          </w:p>
        </w:tc>
        <w:tc>
          <w:tcPr>
            <w:tcW w:w="499" w:type="dxa"/>
            <w:shd w:val="clear" w:color="auto" w:fill="D9D9D9"/>
            <w:textDirection w:val="btLr"/>
            <w:vAlign w:val="center"/>
          </w:tcPr>
          <w:p>
            <w:pPr>
              <w:snapToGrid w:val="0"/>
              <w:spacing w:line="216" w:lineRule="auto"/>
              <w:ind w:left="115" w:right="115"/>
              <w:jc w:val="center"/>
              <w:rPr>
                <w:sz w:val="16"/>
                <w:szCs w:val="16"/>
              </w:rPr>
            </w:pPr>
            <w:r>
              <w:rPr>
                <w:sz w:val="16"/>
                <w:szCs w:val="16"/>
              </w:rPr>
              <w:t>Organization Code (9-digit)</w:t>
            </w:r>
          </w:p>
        </w:tc>
        <w:tc>
          <w:tcPr>
            <w:tcW w:w="499" w:type="dxa"/>
            <w:shd w:val="clear" w:color="auto" w:fill="D9D9D9"/>
            <w:textDirection w:val="btLr"/>
            <w:vAlign w:val="center"/>
          </w:tcPr>
          <w:p>
            <w:pPr>
              <w:snapToGrid w:val="0"/>
              <w:spacing w:line="216" w:lineRule="auto"/>
              <w:ind w:left="115" w:right="115"/>
              <w:jc w:val="center"/>
              <w:rPr>
                <w:sz w:val="16"/>
                <w:szCs w:val="16"/>
              </w:rPr>
            </w:pPr>
            <w:r>
              <w:rPr>
                <w:sz w:val="16"/>
                <w:szCs w:val="16"/>
              </w:rPr>
              <w:t>Local SAFE Branch</w:t>
            </w:r>
          </w:p>
        </w:tc>
        <w:tc>
          <w:tcPr>
            <w:tcW w:w="499" w:type="dxa"/>
            <w:shd w:val="clear" w:color="auto" w:fill="D9D9D9"/>
            <w:textDirection w:val="btLr"/>
            <w:vAlign w:val="center"/>
          </w:tcPr>
          <w:p>
            <w:pPr>
              <w:snapToGrid w:val="0"/>
              <w:spacing w:line="216" w:lineRule="auto"/>
              <w:ind w:left="115" w:right="115"/>
              <w:jc w:val="center"/>
              <w:rPr>
                <w:sz w:val="16"/>
                <w:szCs w:val="16"/>
              </w:rPr>
            </w:pPr>
            <w:r>
              <w:rPr>
                <w:sz w:val="16"/>
                <w:szCs w:val="16"/>
              </w:rPr>
              <w:t>Cross-Border Delivery Settlement Statement No.</w:t>
            </w:r>
          </w:p>
        </w:tc>
        <w:tc>
          <w:tcPr>
            <w:tcW w:w="500" w:type="dxa"/>
            <w:shd w:val="clear" w:color="auto" w:fill="D9D9D9"/>
            <w:textDirection w:val="btLr"/>
            <w:vAlign w:val="center"/>
          </w:tcPr>
          <w:p>
            <w:pPr>
              <w:snapToGrid w:val="0"/>
              <w:spacing w:line="216" w:lineRule="auto"/>
              <w:ind w:left="115" w:right="115"/>
              <w:jc w:val="center"/>
              <w:rPr>
                <w:sz w:val="16"/>
                <w:szCs w:val="16"/>
              </w:rPr>
            </w:pPr>
            <w:r>
              <w:rPr>
                <w:sz w:val="16"/>
                <w:szCs w:val="16"/>
              </w:rPr>
              <w:t>Delivery Quantity (metric ton)</w:t>
            </w:r>
          </w:p>
        </w:tc>
        <w:tc>
          <w:tcPr>
            <w:tcW w:w="499" w:type="dxa"/>
            <w:shd w:val="clear" w:color="auto" w:fill="D9D9D9"/>
            <w:textDirection w:val="btLr"/>
            <w:vAlign w:val="center"/>
          </w:tcPr>
          <w:p>
            <w:pPr>
              <w:snapToGrid w:val="0"/>
              <w:spacing w:line="216" w:lineRule="auto"/>
              <w:ind w:left="115" w:right="115"/>
              <w:jc w:val="center"/>
              <w:rPr>
                <w:sz w:val="16"/>
                <w:szCs w:val="16"/>
              </w:rPr>
            </w:pPr>
            <w:r>
              <w:rPr>
                <w:sz w:val="16"/>
                <w:szCs w:val="16"/>
              </w:rPr>
              <w:t>Unit Price (RMB yuan)</w:t>
            </w:r>
          </w:p>
        </w:tc>
        <w:tc>
          <w:tcPr>
            <w:tcW w:w="499" w:type="dxa"/>
            <w:shd w:val="clear" w:color="auto" w:fill="D9D9D9"/>
            <w:textDirection w:val="btLr"/>
            <w:vAlign w:val="center"/>
          </w:tcPr>
          <w:p>
            <w:pPr>
              <w:snapToGrid w:val="0"/>
              <w:spacing w:line="216" w:lineRule="auto"/>
              <w:ind w:left="115" w:right="115"/>
              <w:jc w:val="center"/>
              <w:rPr>
                <w:sz w:val="16"/>
                <w:szCs w:val="16"/>
              </w:rPr>
            </w:pPr>
            <w:r>
              <w:rPr>
                <w:sz w:val="16"/>
                <w:szCs w:val="16"/>
              </w:rPr>
              <w:t>Current Load-Out Quantity (metric ton)</w:t>
            </w:r>
          </w:p>
        </w:tc>
        <w:tc>
          <w:tcPr>
            <w:tcW w:w="499" w:type="dxa"/>
            <w:shd w:val="clear" w:color="auto" w:fill="D9D9D9"/>
            <w:textDirection w:val="btLr"/>
            <w:vAlign w:val="center"/>
          </w:tcPr>
          <w:p>
            <w:pPr>
              <w:snapToGrid w:val="0"/>
              <w:spacing w:line="216" w:lineRule="auto"/>
              <w:ind w:left="115" w:right="115"/>
              <w:jc w:val="center"/>
              <w:rPr>
                <w:sz w:val="16"/>
                <w:szCs w:val="16"/>
              </w:rPr>
            </w:pPr>
            <w:r>
              <w:rPr>
                <w:sz w:val="16"/>
                <w:szCs w:val="16"/>
              </w:rPr>
              <w:t>Load-Out Destination (“Import (Border Entry) through Customs Declaration” or “Overseas Resale” or “Domestic Resale”)</w:t>
            </w:r>
          </w:p>
        </w:tc>
        <w:tc>
          <w:tcPr>
            <w:tcW w:w="499" w:type="dxa"/>
            <w:shd w:val="clear" w:color="auto" w:fill="D9D9D9"/>
            <w:textDirection w:val="btLr"/>
            <w:vAlign w:val="center"/>
          </w:tcPr>
          <w:p>
            <w:pPr>
              <w:snapToGrid w:val="0"/>
              <w:spacing w:line="216" w:lineRule="auto"/>
              <w:ind w:left="115" w:right="115"/>
              <w:jc w:val="center"/>
              <w:rPr>
                <w:sz w:val="16"/>
                <w:szCs w:val="16"/>
              </w:rPr>
            </w:pPr>
            <w:r>
              <w:rPr>
                <w:sz w:val="16"/>
                <w:szCs w:val="16"/>
              </w:rPr>
              <w:t>Cumulative Load-Out Quantity (metric ton)</w:t>
            </w:r>
          </w:p>
        </w:tc>
        <w:tc>
          <w:tcPr>
            <w:tcW w:w="500" w:type="dxa"/>
            <w:shd w:val="clear" w:color="auto" w:fill="D9D9D9"/>
            <w:textDirection w:val="btLr"/>
            <w:vAlign w:val="center"/>
          </w:tcPr>
          <w:p>
            <w:pPr>
              <w:snapToGrid w:val="0"/>
              <w:spacing w:line="216" w:lineRule="auto"/>
              <w:ind w:left="115" w:right="115"/>
              <w:jc w:val="center"/>
              <w:rPr>
                <w:sz w:val="16"/>
                <w:szCs w:val="16"/>
              </w:rPr>
            </w:pPr>
            <w:r>
              <w:rPr>
                <w:sz w:val="16"/>
                <w:szCs w:val="16"/>
              </w:rPr>
              <w:t>Remaining Quantity (metric ton)</w:t>
            </w:r>
          </w:p>
        </w:tc>
        <w:tc>
          <w:tcPr>
            <w:tcW w:w="499" w:type="dxa"/>
            <w:shd w:val="clear" w:color="auto" w:fill="E2EFDA"/>
            <w:textDirection w:val="btLr"/>
            <w:vAlign w:val="center"/>
          </w:tcPr>
          <w:p>
            <w:pPr>
              <w:snapToGrid w:val="0"/>
              <w:spacing w:line="216" w:lineRule="auto"/>
              <w:ind w:left="115" w:right="115"/>
              <w:jc w:val="center"/>
              <w:rPr>
                <w:sz w:val="16"/>
                <w:szCs w:val="16"/>
              </w:rPr>
            </w:pPr>
            <w:r>
              <w:rPr>
                <w:sz w:val="16"/>
                <w:szCs w:val="16"/>
              </w:rPr>
              <w:t>Import / Border Entry Date (YYYY-MM-DD)</w:t>
            </w:r>
          </w:p>
        </w:tc>
        <w:tc>
          <w:tcPr>
            <w:tcW w:w="499" w:type="dxa"/>
            <w:shd w:val="clear" w:color="auto" w:fill="E2EFDA"/>
            <w:textDirection w:val="btLr"/>
            <w:vAlign w:val="center"/>
          </w:tcPr>
          <w:p>
            <w:pPr>
              <w:snapToGrid w:val="0"/>
              <w:spacing w:line="216" w:lineRule="auto"/>
              <w:ind w:left="115" w:right="115"/>
              <w:jc w:val="center"/>
              <w:rPr>
                <w:sz w:val="16"/>
                <w:szCs w:val="16"/>
              </w:rPr>
            </w:pPr>
            <w:r>
              <w:rPr>
                <w:sz w:val="16"/>
                <w:szCs w:val="16"/>
              </w:rPr>
              <w:t>Quantity (metric ton)</w:t>
            </w:r>
          </w:p>
        </w:tc>
        <w:tc>
          <w:tcPr>
            <w:tcW w:w="499" w:type="dxa"/>
            <w:shd w:val="clear" w:color="auto" w:fill="E2EFDA"/>
            <w:textDirection w:val="btLr"/>
            <w:vAlign w:val="center"/>
          </w:tcPr>
          <w:p>
            <w:pPr>
              <w:snapToGrid w:val="0"/>
              <w:spacing w:line="216" w:lineRule="auto"/>
              <w:ind w:left="115" w:right="115"/>
              <w:jc w:val="center"/>
              <w:rPr>
                <w:sz w:val="16"/>
                <w:szCs w:val="16"/>
              </w:rPr>
            </w:pPr>
            <w:r>
              <w:rPr>
                <w:sz w:val="16"/>
                <w:szCs w:val="16"/>
              </w:rPr>
              <w:t>Unit Price (RMB yuan)</w:t>
            </w:r>
          </w:p>
        </w:tc>
        <w:tc>
          <w:tcPr>
            <w:tcW w:w="499" w:type="dxa"/>
            <w:shd w:val="clear" w:color="auto" w:fill="E2EFDA"/>
            <w:textDirection w:val="btLr"/>
            <w:vAlign w:val="center"/>
          </w:tcPr>
          <w:p>
            <w:pPr>
              <w:snapToGrid w:val="0"/>
              <w:spacing w:line="216" w:lineRule="auto"/>
              <w:ind w:left="115" w:right="115"/>
              <w:jc w:val="center"/>
              <w:rPr>
                <w:sz w:val="16"/>
                <w:szCs w:val="16"/>
              </w:rPr>
            </w:pPr>
            <w:r>
              <w:rPr>
                <w:sz w:val="16"/>
                <w:szCs w:val="16"/>
              </w:rPr>
              <w:t>Declarant’s Name</w:t>
            </w:r>
          </w:p>
        </w:tc>
        <w:tc>
          <w:tcPr>
            <w:tcW w:w="500" w:type="dxa"/>
            <w:shd w:val="clear" w:color="auto" w:fill="E2EFDA"/>
            <w:textDirection w:val="btLr"/>
            <w:vAlign w:val="center"/>
          </w:tcPr>
          <w:p>
            <w:pPr>
              <w:snapToGrid w:val="0"/>
              <w:spacing w:line="216" w:lineRule="auto"/>
              <w:ind w:left="115" w:right="115"/>
              <w:jc w:val="center"/>
              <w:rPr>
                <w:sz w:val="16"/>
                <w:szCs w:val="16"/>
              </w:rPr>
            </w:pPr>
            <w:r>
              <w:rPr>
                <w:sz w:val="16"/>
                <w:szCs w:val="16"/>
              </w:rPr>
              <w:t>Declarant’s Organization Code (9-digit)</w:t>
            </w:r>
          </w:p>
        </w:tc>
        <w:tc>
          <w:tcPr>
            <w:tcW w:w="499" w:type="dxa"/>
            <w:shd w:val="clear" w:color="auto" w:fill="E2EFDA"/>
            <w:textDirection w:val="btLr"/>
            <w:vAlign w:val="center"/>
          </w:tcPr>
          <w:p>
            <w:pPr>
              <w:snapToGrid w:val="0"/>
              <w:spacing w:line="216" w:lineRule="auto"/>
              <w:ind w:left="115" w:right="115"/>
              <w:jc w:val="center"/>
              <w:rPr>
                <w:sz w:val="16"/>
                <w:szCs w:val="16"/>
              </w:rPr>
            </w:pPr>
            <w:r>
              <w:rPr>
                <w:sz w:val="16"/>
                <w:szCs w:val="16"/>
              </w:rPr>
              <w:t>Customs Document No.</w:t>
            </w:r>
          </w:p>
        </w:tc>
        <w:tc>
          <w:tcPr>
            <w:tcW w:w="499" w:type="dxa"/>
            <w:shd w:val="clear" w:color="auto" w:fill="DDEBF7"/>
            <w:textDirection w:val="btLr"/>
            <w:vAlign w:val="center"/>
          </w:tcPr>
          <w:p>
            <w:pPr>
              <w:snapToGrid w:val="0"/>
              <w:spacing w:line="216" w:lineRule="auto"/>
              <w:ind w:left="115" w:right="115"/>
              <w:jc w:val="center"/>
              <w:rPr>
                <w:sz w:val="16"/>
                <w:szCs w:val="16"/>
              </w:rPr>
            </w:pPr>
            <w:r>
              <w:rPr>
                <w:sz w:val="16"/>
                <w:szCs w:val="16"/>
              </w:rPr>
              <w:t>Resale Date (YYYY-MM-DD)</w:t>
            </w:r>
          </w:p>
        </w:tc>
        <w:tc>
          <w:tcPr>
            <w:tcW w:w="499" w:type="dxa"/>
            <w:shd w:val="clear" w:color="auto" w:fill="DDEBF7"/>
            <w:textDirection w:val="btLr"/>
            <w:vAlign w:val="center"/>
          </w:tcPr>
          <w:p>
            <w:pPr>
              <w:snapToGrid w:val="0"/>
              <w:spacing w:line="216" w:lineRule="auto"/>
              <w:ind w:left="115" w:right="115"/>
              <w:jc w:val="center"/>
              <w:rPr>
                <w:sz w:val="16"/>
                <w:szCs w:val="16"/>
              </w:rPr>
            </w:pPr>
            <w:r>
              <w:rPr>
                <w:sz w:val="16"/>
                <w:szCs w:val="16"/>
              </w:rPr>
              <w:t>Resale Quantity (metric ton)</w:t>
            </w:r>
          </w:p>
        </w:tc>
        <w:tc>
          <w:tcPr>
            <w:tcW w:w="499" w:type="dxa"/>
            <w:shd w:val="clear" w:color="auto" w:fill="DDEBF7"/>
            <w:textDirection w:val="btLr"/>
            <w:vAlign w:val="center"/>
          </w:tcPr>
          <w:p>
            <w:pPr>
              <w:snapToGrid w:val="0"/>
              <w:spacing w:line="216" w:lineRule="auto"/>
              <w:ind w:left="115" w:right="115"/>
              <w:jc w:val="center"/>
              <w:rPr>
                <w:sz w:val="16"/>
                <w:szCs w:val="16"/>
              </w:rPr>
            </w:pPr>
            <w:r>
              <w:rPr>
                <w:sz w:val="16"/>
                <w:szCs w:val="16"/>
              </w:rPr>
              <w:t>Resale Unit Price (RMB yuan)</w:t>
            </w:r>
          </w:p>
        </w:tc>
        <w:tc>
          <w:tcPr>
            <w:tcW w:w="500" w:type="dxa"/>
            <w:shd w:val="clear" w:color="auto" w:fill="DDEBF7"/>
            <w:textDirection w:val="btLr"/>
            <w:vAlign w:val="center"/>
          </w:tcPr>
          <w:p>
            <w:pPr>
              <w:snapToGrid w:val="0"/>
              <w:spacing w:line="216" w:lineRule="auto"/>
              <w:ind w:left="115" w:right="115"/>
              <w:jc w:val="center"/>
              <w:rPr>
                <w:sz w:val="16"/>
                <w:szCs w:val="16"/>
              </w:rPr>
            </w:pPr>
            <w:r>
              <w:rPr>
                <w:sz w:val="16"/>
                <w:szCs w:val="16"/>
              </w:rPr>
              <w:t xml:space="preserve">International Payments and Receipts Filing No. for Resale Proceeds </w:t>
            </w:r>
          </w:p>
        </w:tc>
        <w:tc>
          <w:tcPr>
            <w:tcW w:w="499" w:type="dxa"/>
            <w:shd w:val="clear" w:color="auto" w:fill="FFF2CC"/>
            <w:textDirection w:val="btLr"/>
            <w:vAlign w:val="center"/>
          </w:tcPr>
          <w:p>
            <w:pPr>
              <w:snapToGrid w:val="0"/>
              <w:spacing w:line="216" w:lineRule="auto"/>
              <w:ind w:left="115" w:right="115"/>
              <w:jc w:val="center"/>
              <w:rPr>
                <w:sz w:val="16"/>
                <w:szCs w:val="16"/>
              </w:rPr>
            </w:pPr>
            <w:r>
              <w:rPr>
                <w:sz w:val="16"/>
                <w:szCs w:val="16"/>
              </w:rPr>
              <w:t>Seller’s Name</w:t>
            </w:r>
          </w:p>
        </w:tc>
        <w:tc>
          <w:tcPr>
            <w:tcW w:w="499" w:type="dxa"/>
            <w:shd w:val="clear" w:color="auto" w:fill="FFF2CC"/>
            <w:textDirection w:val="btLr"/>
            <w:vAlign w:val="center"/>
          </w:tcPr>
          <w:p>
            <w:pPr>
              <w:snapToGrid w:val="0"/>
              <w:spacing w:line="216" w:lineRule="auto"/>
              <w:ind w:left="115" w:right="115"/>
              <w:jc w:val="center"/>
              <w:rPr>
                <w:sz w:val="16"/>
                <w:szCs w:val="16"/>
              </w:rPr>
            </w:pPr>
            <w:r>
              <w:rPr>
                <w:sz w:val="16"/>
                <w:szCs w:val="16"/>
              </w:rPr>
              <w:t>Seller’s Organization Code (9-digit)</w:t>
            </w:r>
          </w:p>
        </w:tc>
        <w:tc>
          <w:tcPr>
            <w:tcW w:w="499" w:type="dxa"/>
            <w:shd w:val="clear" w:color="auto" w:fill="FFF2CC"/>
            <w:textDirection w:val="btLr"/>
            <w:vAlign w:val="center"/>
          </w:tcPr>
          <w:p>
            <w:pPr>
              <w:snapToGrid w:val="0"/>
              <w:spacing w:line="216" w:lineRule="auto"/>
              <w:ind w:left="115" w:right="115"/>
              <w:jc w:val="center"/>
              <w:rPr>
                <w:sz w:val="16"/>
                <w:szCs w:val="16"/>
              </w:rPr>
            </w:pPr>
            <w:r>
              <w:rPr>
                <w:sz w:val="16"/>
                <w:szCs w:val="16"/>
              </w:rPr>
              <w:t>Seller’s Local SAFE Branch</w:t>
            </w:r>
          </w:p>
        </w:tc>
        <w:tc>
          <w:tcPr>
            <w:tcW w:w="499" w:type="dxa"/>
            <w:shd w:val="clear" w:color="auto" w:fill="FFF2CC"/>
            <w:textDirection w:val="btLr"/>
            <w:vAlign w:val="center"/>
          </w:tcPr>
          <w:p>
            <w:pPr>
              <w:snapToGrid w:val="0"/>
              <w:spacing w:line="216" w:lineRule="auto"/>
              <w:ind w:left="115" w:right="115"/>
              <w:jc w:val="center"/>
              <w:rPr>
                <w:sz w:val="16"/>
                <w:szCs w:val="16"/>
              </w:rPr>
            </w:pPr>
            <w:r>
              <w:rPr>
                <w:sz w:val="16"/>
                <w:szCs w:val="16"/>
              </w:rPr>
              <w:t>Resale Date (YYYY-MM-DD)</w:t>
            </w:r>
          </w:p>
        </w:tc>
        <w:tc>
          <w:tcPr>
            <w:tcW w:w="500" w:type="dxa"/>
            <w:shd w:val="clear" w:color="auto" w:fill="FFF2CC"/>
            <w:textDirection w:val="btLr"/>
            <w:vAlign w:val="center"/>
          </w:tcPr>
          <w:p>
            <w:pPr>
              <w:snapToGrid w:val="0"/>
              <w:spacing w:line="216" w:lineRule="auto"/>
              <w:ind w:left="115" w:right="115"/>
              <w:jc w:val="center"/>
              <w:rPr>
                <w:sz w:val="16"/>
                <w:szCs w:val="16"/>
              </w:rPr>
            </w:pPr>
            <w:r>
              <w:rPr>
                <w:sz w:val="16"/>
                <w:szCs w:val="16"/>
              </w:rPr>
              <w:t>Resale Quantity (metric ton)</w:t>
            </w:r>
          </w:p>
        </w:tc>
        <w:tc>
          <w:tcPr>
            <w:tcW w:w="499" w:type="dxa"/>
            <w:shd w:val="clear" w:color="auto" w:fill="FFF2CC"/>
            <w:textDirection w:val="btLr"/>
            <w:vAlign w:val="center"/>
          </w:tcPr>
          <w:p>
            <w:pPr>
              <w:snapToGrid w:val="0"/>
              <w:spacing w:line="216" w:lineRule="auto"/>
              <w:ind w:left="115" w:right="115"/>
              <w:jc w:val="center"/>
              <w:rPr>
                <w:sz w:val="16"/>
                <w:szCs w:val="16"/>
              </w:rPr>
            </w:pPr>
            <w:r>
              <w:rPr>
                <w:sz w:val="16"/>
                <w:szCs w:val="16"/>
              </w:rPr>
              <w:t>Resale Unit Price (RMB yuan)</w:t>
            </w:r>
          </w:p>
        </w:tc>
        <w:tc>
          <w:tcPr>
            <w:tcW w:w="499" w:type="dxa"/>
            <w:shd w:val="clear" w:color="auto" w:fill="FFF2CC"/>
            <w:textDirection w:val="btLr"/>
            <w:vAlign w:val="center"/>
          </w:tcPr>
          <w:p>
            <w:pPr>
              <w:snapToGrid w:val="0"/>
              <w:spacing w:line="216" w:lineRule="auto"/>
              <w:ind w:left="115" w:right="115"/>
              <w:jc w:val="center"/>
              <w:rPr>
                <w:sz w:val="16"/>
                <w:szCs w:val="16"/>
              </w:rPr>
            </w:pPr>
            <w:r>
              <w:rPr>
                <w:sz w:val="16"/>
                <w:szCs w:val="16"/>
              </w:rPr>
              <w:t>Buyer’s Name</w:t>
            </w:r>
          </w:p>
        </w:tc>
        <w:tc>
          <w:tcPr>
            <w:tcW w:w="499" w:type="dxa"/>
            <w:shd w:val="clear" w:color="auto" w:fill="FFF2CC"/>
            <w:textDirection w:val="btLr"/>
            <w:vAlign w:val="center"/>
          </w:tcPr>
          <w:p>
            <w:pPr>
              <w:snapToGrid w:val="0"/>
              <w:spacing w:line="216" w:lineRule="auto"/>
              <w:ind w:left="115" w:right="115"/>
              <w:jc w:val="center"/>
              <w:rPr>
                <w:sz w:val="16"/>
                <w:szCs w:val="16"/>
              </w:rPr>
            </w:pPr>
            <w:r>
              <w:rPr>
                <w:sz w:val="16"/>
                <w:szCs w:val="16"/>
              </w:rPr>
              <w:t>Buyer’s Organization Code (9-digit)</w:t>
            </w:r>
          </w:p>
        </w:tc>
        <w:tc>
          <w:tcPr>
            <w:tcW w:w="499" w:type="dxa"/>
            <w:shd w:val="clear" w:color="auto" w:fill="FFF2CC"/>
            <w:textDirection w:val="btLr"/>
            <w:vAlign w:val="center"/>
          </w:tcPr>
          <w:p>
            <w:pPr>
              <w:snapToGrid w:val="0"/>
              <w:spacing w:line="216" w:lineRule="auto"/>
              <w:ind w:left="115" w:right="115"/>
              <w:jc w:val="center"/>
              <w:rPr>
                <w:sz w:val="16"/>
                <w:szCs w:val="16"/>
              </w:rPr>
            </w:pPr>
            <w:r>
              <w:rPr>
                <w:sz w:val="16"/>
                <w:szCs w:val="16"/>
              </w:rPr>
              <w:t>Buyer’s Local SAFE Branch</w:t>
            </w:r>
          </w:p>
        </w:tc>
        <w:tc>
          <w:tcPr>
            <w:tcW w:w="500" w:type="dxa"/>
            <w:shd w:val="clear" w:color="auto" w:fill="FFF2CC"/>
            <w:textDirection w:val="btLr"/>
            <w:vAlign w:val="center"/>
          </w:tcPr>
          <w:p>
            <w:pPr>
              <w:snapToGrid w:val="0"/>
              <w:spacing w:line="216" w:lineRule="auto"/>
              <w:ind w:left="115" w:right="115"/>
              <w:jc w:val="center"/>
              <w:rPr>
                <w:sz w:val="16"/>
                <w:szCs w:val="16"/>
              </w:rPr>
            </w:pPr>
            <w:r>
              <w:rPr>
                <w:sz w:val="16"/>
                <w:szCs w:val="16"/>
              </w:rPr>
              <w:t>Bill of Lading No. or Overseas Warrant No. for Goods Resold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499" w:type="dxa"/>
            <w:vAlign w:val="center"/>
          </w:tcPr>
          <w:p>
            <w:pPr>
              <w:snapToGrid w:val="0"/>
              <w:spacing w:line="240" w:lineRule="auto"/>
              <w:jc w:val="center"/>
              <w:rPr>
                <w:sz w:val="18"/>
                <w:szCs w:val="18"/>
              </w:rPr>
            </w:pPr>
            <w:r>
              <w:rPr>
                <w:sz w:val="18"/>
                <w:szCs w:val="18"/>
              </w:rPr>
              <w:t>1</w:t>
            </w: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tcPr>
          <w:p>
            <w:pPr>
              <w:snapToGrid w:val="0"/>
              <w:spacing w:line="240" w:lineRule="auto"/>
              <w:rPr>
                <w:sz w:val="18"/>
                <w:szCs w:val="18"/>
              </w:rPr>
            </w:pPr>
          </w:p>
        </w:tc>
        <w:tc>
          <w:tcPr>
            <w:tcW w:w="500" w:type="dxa"/>
          </w:tcPr>
          <w:p>
            <w:pPr>
              <w:snapToGrid w:val="0"/>
              <w:spacing w:line="24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499" w:type="dxa"/>
            <w:vAlign w:val="center"/>
          </w:tcPr>
          <w:p>
            <w:pPr>
              <w:snapToGrid w:val="0"/>
              <w:spacing w:line="240" w:lineRule="auto"/>
              <w:jc w:val="center"/>
              <w:rPr>
                <w:sz w:val="18"/>
                <w:szCs w:val="18"/>
              </w:rPr>
            </w:pPr>
            <w:r>
              <w:rPr>
                <w:sz w:val="18"/>
                <w:szCs w:val="18"/>
              </w:rPr>
              <w:t>2</w:t>
            </w: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tcPr>
          <w:p>
            <w:pPr>
              <w:snapToGrid w:val="0"/>
              <w:spacing w:line="240" w:lineRule="auto"/>
              <w:rPr>
                <w:sz w:val="18"/>
                <w:szCs w:val="18"/>
              </w:rPr>
            </w:pPr>
          </w:p>
        </w:tc>
        <w:tc>
          <w:tcPr>
            <w:tcW w:w="500" w:type="dxa"/>
          </w:tcPr>
          <w:p>
            <w:pPr>
              <w:snapToGrid w:val="0"/>
              <w:spacing w:line="24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499" w:type="dxa"/>
            <w:vAlign w:val="center"/>
          </w:tcPr>
          <w:p>
            <w:pPr>
              <w:snapToGrid w:val="0"/>
              <w:spacing w:line="240" w:lineRule="auto"/>
              <w:jc w:val="center"/>
              <w:rPr>
                <w:sz w:val="18"/>
                <w:szCs w:val="18"/>
              </w:rPr>
            </w:pPr>
            <w:r>
              <w:rPr>
                <w:sz w:val="18"/>
                <w:szCs w:val="18"/>
              </w:rPr>
              <w:t>3</w:t>
            </w: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tcPr>
          <w:p>
            <w:pPr>
              <w:snapToGrid w:val="0"/>
              <w:spacing w:line="240" w:lineRule="auto"/>
              <w:rPr>
                <w:sz w:val="18"/>
                <w:szCs w:val="18"/>
              </w:rPr>
            </w:pPr>
          </w:p>
        </w:tc>
        <w:tc>
          <w:tcPr>
            <w:tcW w:w="500" w:type="dxa"/>
          </w:tcPr>
          <w:p>
            <w:pPr>
              <w:snapToGrid w:val="0"/>
              <w:spacing w:line="24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499" w:type="dxa"/>
            <w:vAlign w:val="center"/>
          </w:tcPr>
          <w:p>
            <w:pPr>
              <w:snapToGrid w:val="0"/>
              <w:spacing w:line="240" w:lineRule="auto"/>
              <w:jc w:val="center"/>
              <w:rPr>
                <w:sz w:val="18"/>
                <w:szCs w:val="18"/>
              </w:rPr>
            </w:pPr>
            <w:r>
              <w:rPr>
                <w:sz w:val="18"/>
                <w:szCs w:val="18"/>
              </w:rPr>
              <w:t>…</w:t>
            </w: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500"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vAlign w:val="center"/>
          </w:tcPr>
          <w:p>
            <w:pPr>
              <w:snapToGrid w:val="0"/>
              <w:spacing w:line="240" w:lineRule="auto"/>
              <w:jc w:val="center"/>
              <w:rPr>
                <w:sz w:val="18"/>
                <w:szCs w:val="18"/>
              </w:rPr>
            </w:pPr>
          </w:p>
        </w:tc>
        <w:tc>
          <w:tcPr>
            <w:tcW w:w="499" w:type="dxa"/>
          </w:tcPr>
          <w:p>
            <w:pPr>
              <w:snapToGrid w:val="0"/>
              <w:spacing w:line="240" w:lineRule="auto"/>
              <w:rPr>
                <w:sz w:val="18"/>
                <w:szCs w:val="18"/>
              </w:rPr>
            </w:pPr>
          </w:p>
        </w:tc>
        <w:tc>
          <w:tcPr>
            <w:tcW w:w="500" w:type="dxa"/>
          </w:tcPr>
          <w:p>
            <w:pPr>
              <w:snapToGrid w:val="0"/>
              <w:spacing w:line="240" w:lineRule="auto"/>
              <w:rPr>
                <w:sz w:val="18"/>
                <w:szCs w:val="18"/>
              </w:rPr>
            </w:pPr>
          </w:p>
        </w:tc>
      </w:tr>
    </w:tbl>
    <w:p>
      <w:pPr>
        <w:snapToGrid w:val="0"/>
        <w:spacing w:before="120" w:beforeLines="50" w:after="120" w:afterLines="50"/>
        <w:ind w:left="274" w:hanging="274"/>
        <w:rPr>
          <w:sz w:val="18"/>
          <w:szCs w:val="18"/>
        </w:rPr>
      </w:pPr>
      <w:r>
        <w:rPr>
          <w:sz w:val="18"/>
          <w:szCs w:val="18"/>
        </w:rPr>
        <w:t>Notes:</w:t>
      </w:r>
    </w:p>
    <w:p>
      <w:pPr>
        <w:snapToGrid w:val="0"/>
        <w:spacing w:after="120" w:afterLines="50"/>
        <w:ind w:left="274" w:hanging="274"/>
        <w:rPr>
          <w:rFonts w:cs="Times New Roman"/>
          <w:sz w:val="18"/>
          <w:szCs w:val="18"/>
        </w:rPr>
      </w:pPr>
      <w:r>
        <w:rPr>
          <w:rFonts w:cs="Times New Roman"/>
          <w:sz w:val="18"/>
          <w:szCs w:val="18"/>
        </w:rPr>
        <w:t>1.</w:t>
      </w:r>
      <w:r>
        <w:rPr>
          <w:rFonts w:cs="Times New Roman"/>
          <w:sz w:val="18"/>
          <w:szCs w:val="18"/>
        </w:rPr>
        <w:tab/>
      </w:r>
      <w:r>
        <w:rPr>
          <w:rFonts w:cs="Times New Roman"/>
          <w:sz w:val="18"/>
          <w:szCs w:val="18"/>
        </w:rPr>
        <w:t>This Annex 3 is used by domestic traders or Non-FF Members who take part in the cross-border delivery against TSR 20 futures, as well as by domestic entities involved in all subsequent resales, to report the status of the offshore goods to their competent local SAFE branches. This form must be completed on a transaction-by-transaction and cumulative basis, i.e., each new load-out transaction should be added as a new row and all previously reported information must be retained.</w:t>
      </w:r>
    </w:p>
    <w:p>
      <w:pPr>
        <w:snapToGrid w:val="0"/>
        <w:spacing w:after="120" w:afterLines="50"/>
        <w:ind w:left="274" w:hanging="274"/>
        <w:rPr>
          <w:sz w:val="18"/>
          <w:szCs w:val="18"/>
        </w:rPr>
      </w:pPr>
      <w:r>
        <w:rPr>
          <w:sz w:val="18"/>
          <w:szCs w:val="18"/>
        </w:rPr>
        <w:t>2.</w:t>
      </w:r>
      <w:r>
        <w:rPr>
          <w:sz w:val="18"/>
          <w:szCs w:val="18"/>
        </w:rPr>
        <w:tab/>
      </w:r>
      <w:r>
        <w:rPr>
          <w:sz w:val="18"/>
          <w:szCs w:val="18"/>
        </w:rPr>
        <w:t>For the purposes of this form, “Overseas Resale” refers to the sale of offshore TSR 20 to an overseas entity by domestic traders or Non-FF Members after they have completed a cross-border delivery against TSR 20 futures. “Domestic Resale” refers the sale of such goods to a domestic entity while they are still in an offshore state.</w:t>
      </w:r>
    </w:p>
    <w:p>
      <w:pPr>
        <w:snapToGrid w:val="0"/>
        <w:spacing w:after="120" w:afterLines="50"/>
        <w:ind w:left="274" w:hanging="274"/>
        <w:rPr>
          <w:sz w:val="18"/>
          <w:szCs w:val="18"/>
        </w:rPr>
      </w:pPr>
      <w:r>
        <w:rPr>
          <w:sz w:val="18"/>
          <w:szCs w:val="18"/>
        </w:rPr>
        <w:t>3.</w:t>
      </w:r>
      <w:r>
        <w:rPr>
          <w:sz w:val="18"/>
          <w:szCs w:val="18"/>
        </w:rPr>
        <w:tab/>
      </w:r>
      <w:r>
        <w:rPr>
          <w:sz w:val="18"/>
          <w:szCs w:val="18"/>
        </w:rPr>
        <w:t>Domestic traders and Non-FF Members that participate in cross-border delivery against TSR 20 futures must complete Section A, and also complete Section B, C, or D based on the destination of the goods. Domestic entities that participate in the resale of such goods must complete Section B, C, or D, as applicable.</w:t>
      </w:r>
    </w:p>
    <w:p>
      <w:pPr>
        <w:snapToGrid w:val="0"/>
        <w:spacing w:after="240" w:afterLines="100"/>
        <w:ind w:left="274" w:hanging="274"/>
        <w:rPr>
          <w:sz w:val="18"/>
          <w:szCs w:val="18"/>
        </w:rPr>
        <w:sectPr>
          <w:pgSz w:w="16838" w:h="11906" w:orient="landscape"/>
          <w:pgMar w:top="720" w:right="720" w:bottom="720" w:left="720" w:header="720" w:footer="720" w:gutter="0"/>
          <w:cols w:space="720" w:num="1"/>
          <w:docGrid w:linePitch="360" w:charSpace="0"/>
        </w:sectPr>
      </w:pPr>
      <w:r>
        <w:rPr>
          <w:sz w:val="18"/>
          <w:szCs w:val="18"/>
        </w:rPr>
        <w:t>4.</w:t>
      </w:r>
      <w:r>
        <w:rPr>
          <w:sz w:val="18"/>
          <w:szCs w:val="18"/>
        </w:rPr>
        <w:tab/>
      </w:r>
      <w:r>
        <w:rPr>
          <w:sz w:val="18"/>
          <w:szCs w:val="18"/>
        </w:rPr>
        <w:t>In the case of domestic resale, the local SAFE branch for the seller must maintain a cumulative record on the domestic resale and forward it to the SAFE branch that oversees the corresponding domestic buyer. This process is to be maintained throughout all subsequent resales until the goods are finally cleared for import (border entry) or are resold to an overseas entity. The SAFE branch that has information on the final destination of the goods must forward this information back to the SAFE branch that oversees the initial transferor (i.e., the domestic trader or Non-FF Member who originally participated in the cross-border delivery).</w:t>
      </w:r>
    </w:p>
    <w:p>
      <w:pPr>
        <w:snapToGrid w:val="0"/>
        <w:spacing w:after="240" w:afterLines="100"/>
        <w:rPr>
          <w:rFonts w:cs="Times New Roman"/>
        </w:rPr>
      </w:pPr>
      <w:r>
        <w:rPr>
          <w:rFonts w:cs="Times New Roman"/>
        </w:rPr>
        <w:t>Annex 4</w:t>
      </w:r>
    </w:p>
    <w:p>
      <w:pPr>
        <w:snapToGrid w:val="0"/>
        <w:spacing w:after="120" w:afterLines="50"/>
        <w:jc w:val="center"/>
      </w:pPr>
      <w:r>
        <w:t>Shanghai International Energy Exchange</w:t>
      </w:r>
    </w:p>
    <w:p>
      <w:pPr>
        <w:snapToGrid w:val="0"/>
        <w:spacing w:after="240" w:afterLines="100"/>
        <w:jc w:val="center"/>
        <w:rPr>
          <w:rFonts w:cs="Times New Roman"/>
          <w:b/>
          <w:bCs/>
          <w:sz w:val="28"/>
          <w:szCs w:val="28"/>
        </w:rPr>
      </w:pPr>
      <w:r>
        <w:rPr>
          <w:rFonts w:cs="Times New Roman"/>
          <w:b/>
          <w:bCs/>
          <w:sz w:val="28"/>
          <w:szCs w:val="28"/>
        </w:rPr>
        <w:t>Tax Invoice Confirmation for Overseas Delivery</w:t>
      </w:r>
    </w:p>
    <w:p>
      <w:pPr>
        <w:snapToGrid w:val="0"/>
        <w:spacing w:after="240" w:afterLines="100"/>
      </w:pPr>
    </w:p>
    <w:p>
      <w:pPr>
        <w:snapToGrid w:val="0"/>
        <w:spacing w:after="240" w:afterLines="100"/>
      </w:pPr>
      <w:r>
        <w:t>To: Shanghai International Energy Exchange</w:t>
      </w:r>
    </w:p>
    <w:p>
      <w:pPr>
        <w:snapToGrid w:val="0"/>
        <w:spacing w:after="240" w:afterLines="100"/>
        <w:rPr>
          <w:rFonts w:cs="Times New Roman"/>
        </w:rPr>
      </w:pPr>
      <w:r>
        <w:rPr>
          <w:rFonts w:cs="Times New Roman"/>
        </w:rPr>
        <w:t xml:space="preserve">We, </w:t>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rPr>
        <w:t xml:space="preserve"> (company), is the buyer’s </w:t>
      </w:r>
      <w:r>
        <w:rPr>
          <w:rFonts w:hint="eastAsia" w:cs="Times New Roman"/>
        </w:rPr>
        <w:t xml:space="preserve">carrying </w:t>
      </w:r>
      <w:r>
        <w:rPr>
          <w:rFonts w:cs="Times New Roman"/>
        </w:rPr>
        <w:t xml:space="preserve">Member for the overseas delivery of TSR 20. We confirm that the seller’s </w:t>
      </w:r>
      <w:r>
        <w:rPr>
          <w:rFonts w:hint="eastAsia" w:cs="Times New Roman"/>
        </w:rPr>
        <w:t xml:space="preserve">carrying </w:t>
      </w:r>
      <w:r>
        <w:rPr>
          <w:rFonts w:cs="Times New Roman"/>
        </w:rPr>
        <w:t>Member has duly completed the tax invoice procedures for the overseas delivery with no late fee or liquidated damages or any outstanding late fee and liquidated damages have been settled, and that there are no unsettled disputes regarding the tax invoice for the overseas delivery. Accordingly, we agree not to collect, or to release, the corresponding margin of the seller’s</w:t>
      </w:r>
      <w:r>
        <w:rPr>
          <w:rFonts w:hint="eastAsia" w:cs="Times New Roman"/>
        </w:rPr>
        <w:t xml:space="preserve"> carrying</w:t>
      </w:r>
      <w:r>
        <w:rPr>
          <w:rFonts w:cs="Times New Roman"/>
        </w:rPr>
        <w:t xml:space="preserve"> Member.</w:t>
      </w:r>
    </w:p>
    <w:p>
      <w:pPr>
        <w:snapToGrid w:val="0"/>
        <w:spacing w:after="240" w:afterLines="100"/>
        <w:rPr>
          <w:rFonts w:cs="Times New Roman"/>
        </w:rPr>
      </w:pPr>
    </w:p>
    <w:p>
      <w:pPr>
        <w:snapToGrid w:val="0"/>
        <w:spacing w:after="240" w:afterLines="100"/>
        <w:rPr>
          <w:rFonts w:cs="Times New Roman"/>
        </w:rPr>
      </w:pPr>
      <w:r>
        <w:rPr>
          <w:rFonts w:cs="Times New Roman"/>
        </w:rPr>
        <w:t>Details of the overseas delivery of TSR 20:</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8"/>
        <w:gridCol w:w="4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8" w:type="dxa"/>
          </w:tcPr>
          <w:p>
            <w:pPr>
              <w:snapToGrid w:val="0"/>
              <w:spacing w:before="72" w:beforeLines="30" w:after="72" w:afterLines="30" w:line="240" w:lineRule="auto"/>
              <w:rPr>
                <w:rFonts w:cs="Times New Roman"/>
                <w:sz w:val="22"/>
                <w:szCs w:val="22"/>
              </w:rPr>
            </w:pPr>
            <w:r>
              <w:rPr>
                <w:rFonts w:cs="Times New Roman"/>
                <w:sz w:val="22"/>
                <w:szCs w:val="22"/>
              </w:rPr>
              <w:t xml:space="preserve">Seller’s </w:t>
            </w:r>
            <w:r>
              <w:rPr>
                <w:rFonts w:hint="eastAsia" w:cs="Times New Roman"/>
                <w:sz w:val="22"/>
                <w:szCs w:val="22"/>
              </w:rPr>
              <w:t xml:space="preserve">Carrying </w:t>
            </w:r>
            <w:r>
              <w:rPr>
                <w:rFonts w:cs="Times New Roman"/>
                <w:sz w:val="22"/>
                <w:szCs w:val="22"/>
              </w:rPr>
              <w:t>Member No.:</w:t>
            </w:r>
          </w:p>
        </w:tc>
        <w:tc>
          <w:tcPr>
            <w:tcW w:w="4508" w:type="dxa"/>
          </w:tcPr>
          <w:p>
            <w:pPr>
              <w:snapToGrid w:val="0"/>
              <w:spacing w:before="72" w:beforeLines="30" w:after="72" w:afterLines="30" w:line="240" w:lineRule="auto"/>
              <w:rPr>
                <w:rFonts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508" w:type="dxa"/>
          </w:tcPr>
          <w:p>
            <w:pPr>
              <w:snapToGrid w:val="0"/>
              <w:spacing w:before="72" w:beforeLines="30" w:after="72" w:afterLines="30" w:line="240" w:lineRule="auto"/>
              <w:rPr>
                <w:rFonts w:cs="Times New Roman"/>
                <w:sz w:val="22"/>
                <w:szCs w:val="22"/>
              </w:rPr>
            </w:pPr>
            <w:r>
              <w:rPr>
                <w:rFonts w:cs="Times New Roman"/>
                <w:sz w:val="22"/>
                <w:szCs w:val="22"/>
              </w:rPr>
              <w:t xml:space="preserve">Seller’s </w:t>
            </w:r>
            <w:r>
              <w:rPr>
                <w:rFonts w:hint="eastAsia" w:cs="Times New Roman"/>
                <w:sz w:val="22"/>
                <w:szCs w:val="22"/>
              </w:rPr>
              <w:t xml:space="preserve">Carrying </w:t>
            </w:r>
            <w:r>
              <w:rPr>
                <w:rFonts w:cs="Times New Roman"/>
                <w:sz w:val="22"/>
                <w:szCs w:val="22"/>
              </w:rPr>
              <w:t>Member Name:</w:t>
            </w:r>
          </w:p>
        </w:tc>
        <w:tc>
          <w:tcPr>
            <w:tcW w:w="4508" w:type="dxa"/>
          </w:tcPr>
          <w:p>
            <w:pPr>
              <w:snapToGrid w:val="0"/>
              <w:spacing w:before="72" w:beforeLines="30" w:after="72" w:afterLines="30" w:line="240" w:lineRule="auto"/>
              <w:rPr>
                <w:rFonts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8" w:type="dxa"/>
          </w:tcPr>
          <w:p>
            <w:pPr>
              <w:snapToGrid w:val="0"/>
              <w:spacing w:before="72" w:beforeLines="30" w:after="72" w:afterLines="30" w:line="240" w:lineRule="auto"/>
              <w:rPr>
                <w:rFonts w:cs="Times New Roman"/>
                <w:sz w:val="22"/>
                <w:szCs w:val="22"/>
              </w:rPr>
            </w:pPr>
            <w:r>
              <w:rPr>
                <w:rFonts w:cs="Times New Roman"/>
                <w:sz w:val="22"/>
                <w:szCs w:val="22"/>
              </w:rPr>
              <w:t>Transaction Type:</w:t>
            </w:r>
          </w:p>
        </w:tc>
        <w:tc>
          <w:tcPr>
            <w:tcW w:w="4508" w:type="dxa"/>
          </w:tcPr>
          <w:p>
            <w:pPr>
              <w:snapToGrid w:val="0"/>
              <w:spacing w:before="72" w:beforeLines="30" w:after="72" w:afterLines="30" w:line="240" w:lineRule="auto"/>
              <w:rPr>
                <w:rFonts w:cs="Times New Roman"/>
                <w:sz w:val="22"/>
                <w:szCs w:val="22"/>
              </w:rPr>
            </w:pPr>
            <w:r>
              <w:rPr>
                <w:sz w:val="22"/>
                <w:szCs w:val="22"/>
              </w:rPr>
              <w:sym w:font="Wingdings 2" w:char="00A3"/>
            </w:r>
            <w:r>
              <w:rPr>
                <w:sz w:val="22"/>
                <w:szCs w:val="22"/>
              </w:rPr>
              <w:t xml:space="preserve"> </w:t>
            </w:r>
            <w:r>
              <w:rPr>
                <w:rFonts w:cs="Times New Roman"/>
                <w:sz w:val="22"/>
                <w:szCs w:val="22"/>
              </w:rPr>
              <w:t>Delivery at expiration</w:t>
            </w:r>
          </w:p>
          <w:p>
            <w:pPr>
              <w:snapToGrid w:val="0"/>
              <w:spacing w:before="72" w:beforeLines="30" w:after="72" w:afterLines="30" w:line="240" w:lineRule="auto"/>
              <w:rPr>
                <w:rFonts w:cs="Times New Roman"/>
                <w:sz w:val="22"/>
                <w:szCs w:val="22"/>
              </w:rPr>
            </w:pPr>
            <w:r>
              <w:rPr>
                <w:sz w:val="22"/>
                <w:szCs w:val="22"/>
              </w:rPr>
              <w:sym w:font="Wingdings 2" w:char="00A3"/>
            </w:r>
            <w:r>
              <w:rPr>
                <w:sz w:val="22"/>
                <w:szCs w:val="22"/>
              </w:rPr>
              <w:t xml:space="preserve"> </w:t>
            </w:r>
            <w:r>
              <w:rPr>
                <w:rFonts w:cs="Times New Roman"/>
                <w:sz w:val="22"/>
                <w:szCs w:val="22"/>
              </w:rPr>
              <w:t>Exchange of futures for physicals (EFP)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508" w:type="dxa"/>
          </w:tcPr>
          <w:p>
            <w:pPr>
              <w:snapToGrid w:val="0"/>
              <w:spacing w:before="72" w:beforeLines="30" w:after="72" w:afterLines="30" w:line="240" w:lineRule="auto"/>
              <w:rPr>
                <w:rFonts w:cs="Times New Roman"/>
                <w:sz w:val="22"/>
                <w:szCs w:val="22"/>
              </w:rPr>
            </w:pPr>
            <w:r>
              <w:rPr>
                <w:rFonts w:cs="Times New Roman"/>
                <w:sz w:val="22"/>
                <w:szCs w:val="22"/>
              </w:rPr>
              <w:t>Delivery at Expiration Contract No.:</w:t>
            </w:r>
          </w:p>
        </w:tc>
        <w:tc>
          <w:tcPr>
            <w:tcW w:w="4508" w:type="dxa"/>
          </w:tcPr>
          <w:p>
            <w:pPr>
              <w:snapToGrid w:val="0"/>
              <w:spacing w:before="72" w:beforeLines="30" w:after="72" w:afterLines="30" w:line="240" w:lineRule="auto"/>
              <w:rPr>
                <w:rFonts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8" w:type="dxa"/>
          </w:tcPr>
          <w:p>
            <w:pPr>
              <w:snapToGrid w:val="0"/>
              <w:spacing w:before="72" w:beforeLines="30" w:after="72" w:afterLines="30" w:line="240" w:lineRule="auto"/>
              <w:rPr>
                <w:rFonts w:cs="Times New Roman"/>
                <w:sz w:val="22"/>
                <w:szCs w:val="22"/>
              </w:rPr>
            </w:pPr>
            <w:r>
              <w:rPr>
                <w:rFonts w:cs="Times New Roman"/>
                <w:sz w:val="22"/>
                <w:szCs w:val="22"/>
              </w:rPr>
              <w:t>EFP Application Date:</w:t>
            </w:r>
          </w:p>
        </w:tc>
        <w:tc>
          <w:tcPr>
            <w:tcW w:w="4508" w:type="dxa"/>
          </w:tcPr>
          <w:p>
            <w:pPr>
              <w:snapToGrid w:val="0"/>
              <w:spacing w:before="72" w:beforeLines="30" w:after="72" w:afterLines="30" w:line="240" w:lineRule="auto"/>
              <w:rPr>
                <w:rFonts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508" w:type="dxa"/>
          </w:tcPr>
          <w:p>
            <w:pPr>
              <w:snapToGrid w:val="0"/>
              <w:spacing w:before="72" w:beforeLines="30" w:after="72" w:afterLines="30" w:line="240" w:lineRule="auto"/>
              <w:rPr>
                <w:rFonts w:cs="Times New Roman"/>
                <w:sz w:val="22"/>
                <w:szCs w:val="22"/>
              </w:rPr>
            </w:pPr>
            <w:r>
              <w:rPr>
                <w:rFonts w:cs="Times New Roman"/>
                <w:sz w:val="22"/>
                <w:szCs w:val="22"/>
              </w:rPr>
              <w:t xml:space="preserve">Actual Overseas Delivery Quantity (Weight): </w:t>
            </w:r>
          </w:p>
        </w:tc>
        <w:tc>
          <w:tcPr>
            <w:tcW w:w="4508" w:type="dxa"/>
          </w:tcPr>
          <w:p>
            <w:pPr>
              <w:snapToGrid w:val="0"/>
              <w:spacing w:before="72" w:beforeLines="30" w:after="72" w:afterLines="30" w:line="240" w:lineRule="auto"/>
              <w:rPr>
                <w:rFonts w:cs="Times New Roman"/>
                <w:sz w:val="22"/>
                <w:szCs w:val="22"/>
              </w:rPr>
            </w:pPr>
            <w:r>
              <w:rPr>
                <w:rFonts w:cs="Times New Roman"/>
                <w:sz w:val="22"/>
                <w:szCs w:val="22"/>
                <w:u w:val="single"/>
              </w:rPr>
              <w:tab/>
            </w:r>
            <w:r>
              <w:rPr>
                <w:rFonts w:cs="Times New Roman"/>
                <w:sz w:val="22"/>
                <w:szCs w:val="22"/>
                <w:u w:val="single"/>
              </w:rPr>
              <w:tab/>
            </w:r>
            <w:r>
              <w:rPr>
                <w:rFonts w:cs="Times New Roman"/>
                <w:sz w:val="22"/>
                <w:szCs w:val="22"/>
              </w:rPr>
              <w:t xml:space="preserve"> metric tons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8" w:type="dxa"/>
          </w:tcPr>
          <w:p>
            <w:pPr>
              <w:snapToGrid w:val="0"/>
              <w:spacing w:before="72" w:beforeLines="30" w:after="72" w:afterLines="30" w:line="240" w:lineRule="auto"/>
              <w:rPr>
                <w:rFonts w:cs="Times New Roman"/>
                <w:sz w:val="22"/>
                <w:szCs w:val="22"/>
              </w:rPr>
            </w:pPr>
            <w:r>
              <w:rPr>
                <w:rFonts w:cs="Times New Roman"/>
                <w:sz w:val="22"/>
                <w:szCs w:val="22"/>
              </w:rPr>
              <w:t>Standard Overseas Delivery Quantity (Weight):</w:t>
            </w:r>
          </w:p>
        </w:tc>
        <w:tc>
          <w:tcPr>
            <w:tcW w:w="4508" w:type="dxa"/>
          </w:tcPr>
          <w:p>
            <w:pPr>
              <w:snapToGrid w:val="0"/>
              <w:spacing w:before="72" w:beforeLines="30" w:after="72" w:afterLines="30" w:line="240" w:lineRule="auto"/>
              <w:rPr>
                <w:rFonts w:cs="Times New Roman"/>
                <w:sz w:val="22"/>
                <w:szCs w:val="22"/>
              </w:rPr>
            </w:pPr>
            <w:r>
              <w:rPr>
                <w:rFonts w:cs="Times New Roman"/>
                <w:sz w:val="22"/>
                <w:szCs w:val="22"/>
                <w:u w:val="single"/>
              </w:rPr>
              <w:tab/>
            </w:r>
            <w:r>
              <w:rPr>
                <w:rFonts w:cs="Times New Roman"/>
                <w:sz w:val="22"/>
                <w:szCs w:val="22"/>
                <w:u w:val="single"/>
              </w:rPr>
              <w:tab/>
            </w:r>
            <w:r>
              <w:rPr>
                <w:rFonts w:cs="Times New Roman"/>
                <w:sz w:val="22"/>
                <w:szCs w:val="22"/>
              </w:rPr>
              <w:t xml:space="preserve"> metric tons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508" w:type="dxa"/>
          </w:tcPr>
          <w:p>
            <w:pPr>
              <w:snapToGrid w:val="0"/>
              <w:spacing w:before="72" w:beforeLines="30" w:after="72" w:afterLines="30" w:line="240" w:lineRule="auto"/>
              <w:rPr>
                <w:rFonts w:cs="Times New Roman"/>
                <w:sz w:val="22"/>
                <w:szCs w:val="22"/>
              </w:rPr>
            </w:pPr>
            <w:r>
              <w:rPr>
                <w:rFonts w:cs="Times New Roman"/>
                <w:sz w:val="22"/>
                <w:szCs w:val="22"/>
              </w:rPr>
              <w:t>Overseas Delivery Value:</w:t>
            </w:r>
          </w:p>
        </w:tc>
        <w:tc>
          <w:tcPr>
            <w:tcW w:w="4508" w:type="dxa"/>
          </w:tcPr>
          <w:p>
            <w:pPr>
              <w:snapToGrid w:val="0"/>
              <w:spacing w:before="72" w:beforeLines="30" w:after="72" w:afterLines="30" w:line="240" w:lineRule="auto"/>
              <w:rPr>
                <w:rFonts w:cs="Times New Roman"/>
                <w:sz w:val="22"/>
                <w:szCs w:val="22"/>
              </w:rPr>
            </w:pPr>
            <w:r>
              <w:rPr>
                <w:rFonts w:cs="Times New Roman"/>
                <w:sz w:val="22"/>
                <w:szCs w:val="22"/>
              </w:rPr>
              <w:t xml:space="preserve">RMB </w:t>
            </w:r>
            <w:r>
              <w:rPr>
                <w:rFonts w:cs="Times New Roman"/>
                <w:sz w:val="22"/>
                <w:szCs w:val="22"/>
                <w:u w:val="single"/>
              </w:rPr>
              <w:tab/>
            </w:r>
            <w:r>
              <w:rPr>
                <w:rFonts w:cs="Times New Roman"/>
                <w:sz w:val="22"/>
                <w:szCs w:val="22"/>
                <w:u w:val="single"/>
              </w:rPr>
              <w:tab/>
            </w:r>
            <w:r>
              <w:rPr>
                <w:rFonts w:cs="Times New Roman"/>
                <w:sz w:val="22"/>
                <w:szCs w:val="22"/>
                <w:u w:val="single"/>
              </w:rPr>
              <w:tab/>
            </w:r>
            <w:r>
              <w:rPr>
                <w:rFonts w:cs="Times New Roman"/>
                <w:sz w:val="22"/>
                <w:szCs w:val="22"/>
              </w:rPr>
              <w:t xml:space="preserve"> yuan</w:t>
            </w:r>
          </w:p>
        </w:tc>
      </w:tr>
    </w:tbl>
    <w:p>
      <w:pPr>
        <w:snapToGrid w:val="0"/>
        <w:spacing w:after="240" w:afterLines="100"/>
        <w:rPr>
          <w:rFonts w:cs="Times New Roman"/>
        </w:rPr>
      </w:pPr>
    </w:p>
    <w:p>
      <w:pPr>
        <w:snapToGrid w:val="0"/>
        <w:spacing w:after="240" w:afterLines="100"/>
        <w:rPr>
          <w:rFonts w:cs="Times New Roman"/>
        </w:rPr>
      </w:pPr>
    </w:p>
    <w:p>
      <w:pPr>
        <w:snapToGrid w:val="0"/>
        <w:spacing w:after="240" w:afterLines="100"/>
        <w:rPr>
          <w:rFonts w:cs="Times New Roman"/>
        </w:rPr>
      </w:pPr>
      <w:r>
        <w:rPr>
          <w:rFonts w:cs="Times New Roman"/>
        </w:rPr>
        <w:t xml:space="preserve">Buyer’s </w:t>
      </w:r>
      <w:r>
        <w:rPr>
          <w:rFonts w:hint="eastAsia" w:cs="Times New Roman"/>
        </w:rPr>
        <w:t xml:space="preserve">Carrying </w:t>
      </w:r>
      <w:r>
        <w:rPr>
          <w:rFonts w:cs="Times New Roman"/>
        </w:rPr>
        <w:t>Member (Official Seal):</w:t>
      </w:r>
    </w:p>
    <w:p>
      <w:pPr>
        <w:snapToGrid w:val="0"/>
        <w:spacing w:after="240" w:afterLines="100"/>
        <w:rPr>
          <w:rFonts w:cs="Times New Roman"/>
        </w:rPr>
      </w:pPr>
      <w:r>
        <w:rPr>
          <w:rFonts w:cs="Times New Roman"/>
        </w:rPr>
        <w:t>Date:</w:t>
      </w:r>
    </w:p>
    <w:p>
      <w:pPr>
        <w:rPr>
          <w:rFonts w:cs="Times New Roman"/>
        </w:rPr>
      </w:pPr>
    </w:p>
    <w:sectPr>
      <w:footerReference r:id="rId6" w:type="default"/>
      <w:pgSz w:w="11906" w:h="16838"/>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Aptos Display">
    <w:altName w:val="DejaVu Math TeX Gyre"/>
    <w:panose1 w:val="00000000000000000000"/>
    <w:charset w:val="00"/>
    <w:family w:val="swiss"/>
    <w:pitch w:val="default"/>
    <w:sig w:usb0="00000000" w:usb1="00000000" w:usb2="00000000" w:usb3="00000000" w:csb0="0000019F" w:csb1="00000000"/>
  </w:font>
  <w:font w:name="DejaVu Math TeX Gyre">
    <w:panose1 w:val="02000503000000000000"/>
    <w:charset w:val="00"/>
    <w:family w:val="auto"/>
    <w:pitch w:val="default"/>
    <w:sig w:usb0="A10000EF" w:usb1="4201F9EE" w:usb2="02000000" w:usb3="00000000" w:csb0="60000193" w:csb1="0DD40000"/>
  </w:font>
  <w:font w:name="等线 Light">
    <w:altName w:val="方正仿宋简体"/>
    <w:panose1 w:val="02010600030101010101"/>
    <w:charset w:val="86"/>
    <w:family w:val="auto"/>
    <w:pitch w:val="default"/>
    <w:sig w:usb0="00000000" w:usb1="00000000" w:usb2="00000016" w:usb3="00000000" w:csb0="0004000F" w:csb1="00000000"/>
  </w:font>
  <w:font w:name="方正仿宋简体">
    <w:panose1 w:val="02000000000000000000"/>
    <w:charset w:val="86"/>
    <w:family w:val="auto"/>
    <w:pitch w:val="default"/>
    <w:sig w:usb0="00000001" w:usb1="08000000" w:usb2="00000000" w:usb3="00000000" w:csb0="00040000" w:csb1="00000000"/>
  </w:font>
  <w:font w:name="Aptos">
    <w:altName w:val="DejaVu Math TeX Gyre"/>
    <w:panose1 w:val="00000000000000000000"/>
    <w:charset w:val="00"/>
    <w:family w:val="swiss"/>
    <w:pitch w:val="default"/>
    <w:sig w:usb0="00000000" w:usb1="00000000" w:usb2="00000000" w:usb3="00000000" w:csb0="0000019F" w:csb1="00000000"/>
  </w:font>
  <w:font w:name="等线">
    <w:altName w:val="宋体"/>
    <w:panose1 w:val="02010600030101010101"/>
    <w:charset w:val="86"/>
    <w:family w:val="auto"/>
    <w:pitch w:val="default"/>
    <w:sig w:usb0="00000000" w:usb1="00000000" w:usb2="00000016" w:usb3="00000000" w:csb0="0004000F" w:csb1="00000000"/>
  </w:font>
  <w:font w:name="Wingdings 2">
    <w:panose1 w:val="05020102010507070707"/>
    <w:charset w:val="02"/>
    <w:family w:val="roman"/>
    <w:pitch w:val="default"/>
    <w:sig w:usb0="00000000" w:usb1="00000000" w:usb2="00000000" w:usb3="00000000" w:csb0="8000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6340153"/>
    </w:sdtPr>
    <w:sdtEndPr>
      <w:rPr>
        <w:rFonts w:ascii="Times New Roman" w:hAnsi="Times New Roman" w:cs="Times New Roman"/>
        <w:sz w:val="20"/>
        <w:szCs w:val="20"/>
      </w:rPr>
    </w:sdtEndPr>
    <w:sdtContent>
      <w:p>
        <w:pPr>
          <w:pStyle w:val="12"/>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w:instrText>
        </w:r>
        <w:r>
          <w:rPr>
            <w:rFonts w:ascii="Times New Roman" w:hAnsi="Times New Roman" w:cs="Times New Roman"/>
            <w:sz w:val="20"/>
            <w:szCs w:val="20"/>
          </w:rPr>
          <w:fldChar w:fldCharType="separate"/>
        </w:r>
        <w:r>
          <w:rPr>
            <w:rFonts w:ascii="Times New Roman" w:hAnsi="Times New Roman" w:cs="Times New Roman"/>
            <w:sz w:val="20"/>
            <w:szCs w:val="20"/>
            <w:lang w:val="zh-CN"/>
          </w:rPr>
          <w:t>2</w:t>
        </w:r>
        <w:r>
          <w:rPr>
            <w:rFonts w:ascii="Times New Roman" w:hAnsi="Times New Roman" w:cs="Times New Roman"/>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3668216"/>
    </w:sdtPr>
    <w:sdtEndPr>
      <w:rPr>
        <w:rFonts w:ascii="Times New Roman" w:hAnsi="Times New Roman" w:cs="Times New Roman"/>
        <w:sz w:val="20"/>
        <w:szCs w:val="20"/>
      </w:rPr>
    </w:sdtEndPr>
    <w:sdtContent>
      <w:p>
        <w:pPr>
          <w:pStyle w:val="12"/>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w:instrText>
        </w:r>
        <w:r>
          <w:rPr>
            <w:rFonts w:ascii="Times New Roman" w:hAnsi="Times New Roman" w:cs="Times New Roman"/>
            <w:sz w:val="20"/>
            <w:szCs w:val="20"/>
          </w:rPr>
          <w:fldChar w:fldCharType="separate"/>
        </w:r>
        <w:r>
          <w:rPr>
            <w:rFonts w:ascii="Times New Roman" w:hAnsi="Times New Roman" w:cs="Times New Roman"/>
            <w:sz w:val="20"/>
            <w:szCs w:val="20"/>
            <w:lang w:val="zh-CN"/>
          </w:rPr>
          <w:t>2</w:t>
        </w:r>
        <w:r>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59" w:lineRule="auto"/>
      </w:pPr>
      <w:r>
        <w:separator/>
      </w:r>
    </w:p>
  </w:footnote>
  <w:footnote w:type="continuationSeparator" w:id="3">
    <w:p>
      <w:pPr>
        <w:spacing w:line="259" w:lineRule="auto"/>
      </w:pPr>
      <w:r>
        <w:continuationSeparator/>
      </w:r>
    </w:p>
  </w:footnote>
  <w:footnote w:id="0">
    <w:p>
      <w:pPr>
        <w:snapToGrid w:val="0"/>
        <w:spacing w:after="72" w:afterLines="30" w:line="240" w:lineRule="auto"/>
        <w:rPr>
          <w:rFonts w:cs="Times New Roman"/>
          <w:sz w:val="18"/>
          <w:szCs w:val="18"/>
        </w:rPr>
      </w:pPr>
      <w:r>
        <w:rPr>
          <w:rStyle w:val="23"/>
          <w:rFonts w:cs="Times New Roman"/>
          <w:sz w:val="18"/>
          <w:szCs w:val="18"/>
        </w:rPr>
        <w:footnoteRef/>
      </w:r>
      <w:r>
        <w:rPr>
          <w:rFonts w:cs="Times New Roman"/>
          <w:sz w:val="18"/>
          <w:szCs w:val="18"/>
        </w:rPr>
        <w:t xml:space="preserve"> “</w:t>
      </w:r>
      <w:r>
        <w:rPr>
          <w:rFonts w:hint="eastAsia" w:cs="Times New Roman"/>
          <w:sz w:val="18"/>
          <w:szCs w:val="18"/>
        </w:rPr>
        <w:t>B</w:t>
      </w:r>
      <w:r>
        <w:rPr>
          <w:rFonts w:cs="Times New Roman"/>
          <w:sz w:val="18"/>
          <w:szCs w:val="18"/>
        </w:rPr>
        <w:t>uy-sell unit price deviation” = (</w:t>
      </w:r>
      <w:r>
        <w:rPr>
          <w:rFonts w:hint="eastAsia" w:cs="Times New Roman"/>
          <w:sz w:val="18"/>
          <w:szCs w:val="18"/>
        </w:rPr>
        <w:t>o</w:t>
      </w:r>
      <w:r>
        <w:rPr>
          <w:rFonts w:cs="Times New Roman"/>
          <w:sz w:val="18"/>
          <w:szCs w:val="18"/>
        </w:rPr>
        <w:t xml:space="preserve">ffshore spot selling price - </w:t>
      </w:r>
      <w:r>
        <w:rPr>
          <w:rFonts w:hint="eastAsia" w:cs="Times New Roman"/>
          <w:sz w:val="18"/>
          <w:szCs w:val="18"/>
        </w:rPr>
        <w:t>buying</w:t>
      </w:r>
      <w:r>
        <w:rPr>
          <w:rFonts w:cs="Times New Roman"/>
          <w:sz w:val="18"/>
          <w:szCs w:val="18"/>
        </w:rPr>
        <w:t xml:space="preserve"> price) / buying price.</w:t>
      </w:r>
      <w:r>
        <w:rPr>
          <w:rFonts w:hint="eastAsia" w:cs="Times New Roman"/>
          <w:sz w:val="18"/>
          <w:szCs w:val="18"/>
        </w:rPr>
        <w:t xml:space="preserve"> Of which</w:t>
      </w:r>
      <w:r>
        <w:rPr>
          <w:rFonts w:cs="Times New Roman"/>
          <w:sz w:val="18"/>
          <w:szCs w:val="18"/>
        </w:rPr>
        <w:t xml:space="preserve">, the “buying price” refers to the unit price </w:t>
      </w:r>
      <w:r>
        <w:rPr>
          <w:rFonts w:hint="eastAsia" w:cs="Times New Roman"/>
          <w:sz w:val="18"/>
          <w:szCs w:val="18"/>
        </w:rPr>
        <w:t xml:space="preserve">of the offshore goods </w:t>
      </w:r>
      <w:r>
        <w:rPr>
          <w:rFonts w:cs="Times New Roman"/>
          <w:sz w:val="18"/>
          <w:szCs w:val="18"/>
        </w:rPr>
        <w:t xml:space="preserve">at which </w:t>
      </w:r>
      <w:r>
        <w:rPr>
          <w:rFonts w:hint="eastAsia" w:cs="Times New Roman"/>
          <w:sz w:val="18"/>
          <w:szCs w:val="18"/>
        </w:rPr>
        <w:t xml:space="preserve">a </w:t>
      </w:r>
      <w:r>
        <w:rPr>
          <w:rFonts w:cs="Times New Roman"/>
          <w:sz w:val="18"/>
          <w:szCs w:val="18"/>
        </w:rPr>
        <w:t>domestic trader purchase</w:t>
      </w:r>
      <w:r>
        <w:rPr>
          <w:rFonts w:hint="eastAsia" w:cs="Times New Roman"/>
          <w:sz w:val="18"/>
          <w:szCs w:val="18"/>
        </w:rPr>
        <w:t>s</w:t>
      </w:r>
      <w:r>
        <w:rPr>
          <w:rFonts w:cs="Times New Roman"/>
          <w:sz w:val="18"/>
          <w:szCs w:val="18"/>
        </w:rPr>
        <w:t xml:space="preserve"> through overseas delivery</w:t>
      </w:r>
      <w:r>
        <w:rPr>
          <w:rFonts w:hint="eastAsia" w:cs="Times New Roman"/>
          <w:sz w:val="18"/>
          <w:szCs w:val="18"/>
        </w:rPr>
        <w:t xml:space="preserve"> of the futures product</w:t>
      </w:r>
      <w:r>
        <w:rPr>
          <w:rFonts w:cs="Times New Roman"/>
          <w:sz w:val="18"/>
          <w:szCs w:val="18"/>
        </w:rPr>
        <w:t xml:space="preserve">, or the unit price at which </w:t>
      </w:r>
      <w:r>
        <w:rPr>
          <w:rFonts w:hint="eastAsia" w:cs="Times New Roman"/>
          <w:sz w:val="18"/>
          <w:szCs w:val="18"/>
        </w:rPr>
        <w:t xml:space="preserve">a </w:t>
      </w:r>
      <w:r>
        <w:rPr>
          <w:rFonts w:cs="Times New Roman"/>
          <w:sz w:val="18"/>
          <w:szCs w:val="18"/>
        </w:rPr>
        <w:t>domestic entit</w:t>
      </w:r>
      <w:r>
        <w:rPr>
          <w:rFonts w:hint="eastAsia" w:cs="Times New Roman"/>
          <w:sz w:val="18"/>
          <w:szCs w:val="18"/>
        </w:rPr>
        <w:t>y</w:t>
      </w:r>
      <w:r>
        <w:rPr>
          <w:rFonts w:cs="Times New Roman"/>
          <w:sz w:val="18"/>
          <w:szCs w:val="18"/>
        </w:rPr>
        <w:t xml:space="preserve"> </w:t>
      </w:r>
      <w:r>
        <w:rPr>
          <w:rFonts w:hint="eastAsia" w:cs="Times New Roman"/>
          <w:sz w:val="18"/>
          <w:szCs w:val="18"/>
        </w:rPr>
        <w:t xml:space="preserve">purchases when </w:t>
      </w:r>
      <w:r>
        <w:rPr>
          <w:rFonts w:cs="Times New Roman"/>
          <w:sz w:val="18"/>
          <w:szCs w:val="18"/>
        </w:rPr>
        <w:t xml:space="preserve">participating in </w:t>
      </w:r>
      <w:r>
        <w:rPr>
          <w:rFonts w:hint="eastAsia" w:cs="Times New Roman"/>
          <w:sz w:val="18"/>
          <w:szCs w:val="18"/>
        </w:rPr>
        <w:t xml:space="preserve">the resale of the </w:t>
      </w:r>
      <w:r>
        <w:rPr>
          <w:rFonts w:cs="Times New Roman"/>
          <w:sz w:val="18"/>
          <w:szCs w:val="18"/>
        </w:rPr>
        <w:t xml:space="preserve">offshore </w:t>
      </w:r>
      <w:r>
        <w:rPr>
          <w:rFonts w:hint="eastAsia" w:cs="Times New Roman"/>
          <w:sz w:val="18"/>
          <w:szCs w:val="18"/>
        </w:rPr>
        <w:t>goods</w:t>
      </w:r>
      <w:r>
        <w:rPr>
          <w:rFonts w:cs="Times New Roman"/>
          <w:sz w:val="18"/>
          <w:szCs w:val="18"/>
        </w:rPr>
        <w:t xml:space="preserve">; the “offshore spot selling price” refers to the unit price at which </w:t>
      </w:r>
      <w:r>
        <w:rPr>
          <w:rFonts w:hint="eastAsia" w:cs="Times New Roman"/>
          <w:sz w:val="18"/>
          <w:szCs w:val="18"/>
        </w:rPr>
        <w:t xml:space="preserve">a </w:t>
      </w:r>
      <w:r>
        <w:rPr>
          <w:rFonts w:cs="Times New Roman"/>
          <w:sz w:val="18"/>
          <w:szCs w:val="18"/>
        </w:rPr>
        <w:t xml:space="preserve">domestic trader </w:t>
      </w:r>
      <w:r>
        <w:rPr>
          <w:rFonts w:hint="eastAsia" w:cs="Times New Roman"/>
          <w:sz w:val="18"/>
          <w:szCs w:val="18"/>
        </w:rPr>
        <w:t xml:space="preserve">sells the </w:t>
      </w:r>
      <w:r>
        <w:rPr>
          <w:rFonts w:cs="Times New Roman"/>
          <w:sz w:val="18"/>
          <w:szCs w:val="18"/>
        </w:rPr>
        <w:t xml:space="preserve">offshore </w:t>
      </w:r>
      <w:r>
        <w:rPr>
          <w:rFonts w:hint="eastAsia" w:cs="Times New Roman"/>
          <w:sz w:val="18"/>
          <w:szCs w:val="18"/>
        </w:rPr>
        <w:t>goods it</w:t>
      </w:r>
      <w:r>
        <w:rPr>
          <w:rFonts w:cs="Times New Roman"/>
          <w:sz w:val="18"/>
          <w:szCs w:val="18"/>
        </w:rPr>
        <w:t xml:space="preserve"> obtain</w:t>
      </w:r>
      <w:r>
        <w:rPr>
          <w:rFonts w:hint="eastAsia" w:cs="Times New Roman"/>
          <w:sz w:val="18"/>
          <w:szCs w:val="18"/>
        </w:rPr>
        <w:t xml:space="preserve">ed </w:t>
      </w:r>
      <w:r>
        <w:rPr>
          <w:rFonts w:cs="Times New Roman"/>
          <w:sz w:val="18"/>
          <w:szCs w:val="18"/>
        </w:rPr>
        <w:t xml:space="preserve">through overseas delivery </w:t>
      </w:r>
      <w:r>
        <w:rPr>
          <w:rFonts w:hint="eastAsia" w:cs="Times New Roman"/>
          <w:sz w:val="18"/>
          <w:szCs w:val="18"/>
        </w:rPr>
        <w:t>of the futures product</w:t>
      </w:r>
      <w:r>
        <w:rPr>
          <w:rFonts w:cs="Times New Roman"/>
          <w:sz w:val="18"/>
          <w:szCs w:val="18"/>
        </w:rPr>
        <w:t xml:space="preserve">, or the unit price at which </w:t>
      </w:r>
      <w:r>
        <w:rPr>
          <w:rFonts w:hint="eastAsia" w:cs="Times New Roman"/>
          <w:sz w:val="18"/>
          <w:szCs w:val="18"/>
        </w:rPr>
        <w:t xml:space="preserve">a </w:t>
      </w:r>
      <w:r>
        <w:rPr>
          <w:rFonts w:cs="Times New Roman"/>
          <w:sz w:val="18"/>
          <w:szCs w:val="18"/>
        </w:rPr>
        <w:t>domestic entit</w:t>
      </w:r>
      <w:r>
        <w:rPr>
          <w:rFonts w:hint="eastAsia" w:cs="Times New Roman"/>
          <w:sz w:val="18"/>
          <w:szCs w:val="18"/>
        </w:rPr>
        <w:t xml:space="preserve">y sells when </w:t>
      </w:r>
      <w:r>
        <w:rPr>
          <w:rFonts w:cs="Times New Roman"/>
          <w:sz w:val="18"/>
          <w:szCs w:val="18"/>
        </w:rPr>
        <w:t xml:space="preserve">participating in </w:t>
      </w:r>
      <w:r>
        <w:rPr>
          <w:rFonts w:hint="eastAsia" w:cs="Times New Roman"/>
          <w:sz w:val="18"/>
          <w:szCs w:val="18"/>
        </w:rPr>
        <w:t xml:space="preserve">the resale of </w:t>
      </w:r>
      <w:r>
        <w:rPr>
          <w:rFonts w:cs="Times New Roman"/>
          <w:sz w:val="18"/>
          <w:szCs w:val="18"/>
        </w:rPr>
        <w:t xml:space="preserve">offshore </w:t>
      </w:r>
      <w:r>
        <w:rPr>
          <w:rFonts w:hint="eastAsia" w:cs="Times New Roman"/>
          <w:sz w:val="18"/>
          <w:szCs w:val="18"/>
        </w:rPr>
        <w:t>goods</w:t>
      </w:r>
      <w:r>
        <w:rPr>
          <w:rFonts w:cs="Times New Roman"/>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720"/>
  <w:drawingGridHorizontalSpacing w:val="120"/>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56C"/>
    <w:rsid w:val="00002FDD"/>
    <w:rsid w:val="00007EFC"/>
    <w:rsid w:val="00016726"/>
    <w:rsid w:val="00030330"/>
    <w:rsid w:val="00030DC8"/>
    <w:rsid w:val="000513BC"/>
    <w:rsid w:val="00051499"/>
    <w:rsid w:val="00053C57"/>
    <w:rsid w:val="00057E1D"/>
    <w:rsid w:val="00066BE5"/>
    <w:rsid w:val="000678CA"/>
    <w:rsid w:val="000768A9"/>
    <w:rsid w:val="000847D0"/>
    <w:rsid w:val="0009260A"/>
    <w:rsid w:val="00096994"/>
    <w:rsid w:val="000A2CA0"/>
    <w:rsid w:val="000A7237"/>
    <w:rsid w:val="000B3CE5"/>
    <w:rsid w:val="000B4B43"/>
    <w:rsid w:val="000B7015"/>
    <w:rsid w:val="000C2DD8"/>
    <w:rsid w:val="000D6213"/>
    <w:rsid w:val="000E3884"/>
    <w:rsid w:val="000F7367"/>
    <w:rsid w:val="001015CF"/>
    <w:rsid w:val="001043FF"/>
    <w:rsid w:val="0010777A"/>
    <w:rsid w:val="00121469"/>
    <w:rsid w:val="00121D52"/>
    <w:rsid w:val="00133AD5"/>
    <w:rsid w:val="001343A9"/>
    <w:rsid w:val="00137A1E"/>
    <w:rsid w:val="0015038A"/>
    <w:rsid w:val="0015767B"/>
    <w:rsid w:val="001742BF"/>
    <w:rsid w:val="001766F5"/>
    <w:rsid w:val="00181970"/>
    <w:rsid w:val="001847BA"/>
    <w:rsid w:val="0018587F"/>
    <w:rsid w:val="001A78B1"/>
    <w:rsid w:val="001C207F"/>
    <w:rsid w:val="001D0892"/>
    <w:rsid w:val="001D12FC"/>
    <w:rsid w:val="001D5333"/>
    <w:rsid w:val="001D7C6D"/>
    <w:rsid w:val="001F3377"/>
    <w:rsid w:val="001F4CF9"/>
    <w:rsid w:val="001F6715"/>
    <w:rsid w:val="002002EF"/>
    <w:rsid w:val="00200B8E"/>
    <w:rsid w:val="002024DC"/>
    <w:rsid w:val="002257A5"/>
    <w:rsid w:val="00236846"/>
    <w:rsid w:val="00253227"/>
    <w:rsid w:val="00253E60"/>
    <w:rsid w:val="00257FFC"/>
    <w:rsid w:val="00261F04"/>
    <w:rsid w:val="0027729E"/>
    <w:rsid w:val="00283F5D"/>
    <w:rsid w:val="002938CC"/>
    <w:rsid w:val="00294D03"/>
    <w:rsid w:val="002A01E6"/>
    <w:rsid w:val="002A245D"/>
    <w:rsid w:val="002B1967"/>
    <w:rsid w:val="002B35F2"/>
    <w:rsid w:val="002D1E33"/>
    <w:rsid w:val="002D326B"/>
    <w:rsid w:val="002D3A6D"/>
    <w:rsid w:val="002D3B61"/>
    <w:rsid w:val="002D3FDC"/>
    <w:rsid w:val="002E046D"/>
    <w:rsid w:val="002F41AA"/>
    <w:rsid w:val="002F4DBB"/>
    <w:rsid w:val="00302A83"/>
    <w:rsid w:val="00307966"/>
    <w:rsid w:val="00316744"/>
    <w:rsid w:val="00320FDF"/>
    <w:rsid w:val="00321948"/>
    <w:rsid w:val="003221F6"/>
    <w:rsid w:val="00322A5A"/>
    <w:rsid w:val="00323B63"/>
    <w:rsid w:val="0032613C"/>
    <w:rsid w:val="003311BB"/>
    <w:rsid w:val="003347E7"/>
    <w:rsid w:val="00335B59"/>
    <w:rsid w:val="00350262"/>
    <w:rsid w:val="0035501A"/>
    <w:rsid w:val="00355376"/>
    <w:rsid w:val="003564FF"/>
    <w:rsid w:val="00371F97"/>
    <w:rsid w:val="003727A9"/>
    <w:rsid w:val="0037324D"/>
    <w:rsid w:val="00380773"/>
    <w:rsid w:val="00382951"/>
    <w:rsid w:val="0039029B"/>
    <w:rsid w:val="0039179B"/>
    <w:rsid w:val="003A5857"/>
    <w:rsid w:val="003B005B"/>
    <w:rsid w:val="003B6C67"/>
    <w:rsid w:val="003C3408"/>
    <w:rsid w:val="003C3E5C"/>
    <w:rsid w:val="003C4BE0"/>
    <w:rsid w:val="003E07D6"/>
    <w:rsid w:val="003E2E80"/>
    <w:rsid w:val="003E30CA"/>
    <w:rsid w:val="003E35F5"/>
    <w:rsid w:val="003F0824"/>
    <w:rsid w:val="003F3A53"/>
    <w:rsid w:val="0040174B"/>
    <w:rsid w:val="00414C83"/>
    <w:rsid w:val="00417775"/>
    <w:rsid w:val="0042656C"/>
    <w:rsid w:val="0043056C"/>
    <w:rsid w:val="00431FE9"/>
    <w:rsid w:val="00434909"/>
    <w:rsid w:val="00445776"/>
    <w:rsid w:val="00446A79"/>
    <w:rsid w:val="004510B9"/>
    <w:rsid w:val="00456819"/>
    <w:rsid w:val="00463664"/>
    <w:rsid w:val="00463ACB"/>
    <w:rsid w:val="004719DD"/>
    <w:rsid w:val="00482A7A"/>
    <w:rsid w:val="00484280"/>
    <w:rsid w:val="00493458"/>
    <w:rsid w:val="00495DC1"/>
    <w:rsid w:val="004A123A"/>
    <w:rsid w:val="004B5A07"/>
    <w:rsid w:val="004B7D60"/>
    <w:rsid w:val="004B7FB4"/>
    <w:rsid w:val="004D5A01"/>
    <w:rsid w:val="004D7F9A"/>
    <w:rsid w:val="004E447D"/>
    <w:rsid w:val="004F7FA3"/>
    <w:rsid w:val="00502738"/>
    <w:rsid w:val="00512F40"/>
    <w:rsid w:val="005159EC"/>
    <w:rsid w:val="00515F81"/>
    <w:rsid w:val="00520F16"/>
    <w:rsid w:val="00521687"/>
    <w:rsid w:val="00525171"/>
    <w:rsid w:val="005340E0"/>
    <w:rsid w:val="00546380"/>
    <w:rsid w:val="00557718"/>
    <w:rsid w:val="00577EEB"/>
    <w:rsid w:val="0059052F"/>
    <w:rsid w:val="005953C1"/>
    <w:rsid w:val="005B54FA"/>
    <w:rsid w:val="005C649B"/>
    <w:rsid w:val="005D46B6"/>
    <w:rsid w:val="005F0FE9"/>
    <w:rsid w:val="00601BBB"/>
    <w:rsid w:val="00606690"/>
    <w:rsid w:val="006102C4"/>
    <w:rsid w:val="00620EFE"/>
    <w:rsid w:val="00623028"/>
    <w:rsid w:val="006257AB"/>
    <w:rsid w:val="006264F6"/>
    <w:rsid w:val="0062742A"/>
    <w:rsid w:val="006308F6"/>
    <w:rsid w:val="00643712"/>
    <w:rsid w:val="0065643C"/>
    <w:rsid w:val="00661A75"/>
    <w:rsid w:val="00665BBD"/>
    <w:rsid w:val="00667B7E"/>
    <w:rsid w:val="00690F6A"/>
    <w:rsid w:val="006B10C3"/>
    <w:rsid w:val="006B1BC5"/>
    <w:rsid w:val="006B581C"/>
    <w:rsid w:val="006B6F5C"/>
    <w:rsid w:val="006C04F9"/>
    <w:rsid w:val="006C156F"/>
    <w:rsid w:val="006C5123"/>
    <w:rsid w:val="006E42CC"/>
    <w:rsid w:val="006E5895"/>
    <w:rsid w:val="006F49D9"/>
    <w:rsid w:val="00707A20"/>
    <w:rsid w:val="0073058A"/>
    <w:rsid w:val="0073621D"/>
    <w:rsid w:val="00741D7C"/>
    <w:rsid w:val="00743E3B"/>
    <w:rsid w:val="00755BA9"/>
    <w:rsid w:val="00765DC6"/>
    <w:rsid w:val="00792AA1"/>
    <w:rsid w:val="007B08F5"/>
    <w:rsid w:val="007C1A63"/>
    <w:rsid w:val="007C1D2F"/>
    <w:rsid w:val="007C3F99"/>
    <w:rsid w:val="007D0748"/>
    <w:rsid w:val="007D717D"/>
    <w:rsid w:val="007D7521"/>
    <w:rsid w:val="007E61C4"/>
    <w:rsid w:val="007F2689"/>
    <w:rsid w:val="00802FB7"/>
    <w:rsid w:val="00805129"/>
    <w:rsid w:val="0081272E"/>
    <w:rsid w:val="00815012"/>
    <w:rsid w:val="00846D7E"/>
    <w:rsid w:val="008505FC"/>
    <w:rsid w:val="008538D4"/>
    <w:rsid w:val="00867290"/>
    <w:rsid w:val="008741D0"/>
    <w:rsid w:val="00891820"/>
    <w:rsid w:val="008940D9"/>
    <w:rsid w:val="00897972"/>
    <w:rsid w:val="008A3274"/>
    <w:rsid w:val="008B3670"/>
    <w:rsid w:val="008C1187"/>
    <w:rsid w:val="008C4816"/>
    <w:rsid w:val="008D365E"/>
    <w:rsid w:val="008E038D"/>
    <w:rsid w:val="008E2557"/>
    <w:rsid w:val="008E60F9"/>
    <w:rsid w:val="008E688B"/>
    <w:rsid w:val="008E7576"/>
    <w:rsid w:val="00902E30"/>
    <w:rsid w:val="00906292"/>
    <w:rsid w:val="00910E0B"/>
    <w:rsid w:val="0092095D"/>
    <w:rsid w:val="00923D9A"/>
    <w:rsid w:val="009271B0"/>
    <w:rsid w:val="00930042"/>
    <w:rsid w:val="00932BF2"/>
    <w:rsid w:val="00933AA9"/>
    <w:rsid w:val="00936864"/>
    <w:rsid w:val="00940B8B"/>
    <w:rsid w:val="00947E21"/>
    <w:rsid w:val="009556A4"/>
    <w:rsid w:val="00967F01"/>
    <w:rsid w:val="00970A53"/>
    <w:rsid w:val="009742A5"/>
    <w:rsid w:val="00983993"/>
    <w:rsid w:val="0098686C"/>
    <w:rsid w:val="00996CE0"/>
    <w:rsid w:val="009A0630"/>
    <w:rsid w:val="009A17AD"/>
    <w:rsid w:val="009A4571"/>
    <w:rsid w:val="009A7979"/>
    <w:rsid w:val="009B2492"/>
    <w:rsid w:val="009C24A1"/>
    <w:rsid w:val="009C2F3E"/>
    <w:rsid w:val="009C7CEA"/>
    <w:rsid w:val="009D78E2"/>
    <w:rsid w:val="009E600B"/>
    <w:rsid w:val="009F1512"/>
    <w:rsid w:val="009F1D22"/>
    <w:rsid w:val="009F75A0"/>
    <w:rsid w:val="009F7DA2"/>
    <w:rsid w:val="00A161FA"/>
    <w:rsid w:val="00A168E7"/>
    <w:rsid w:val="00A24EF2"/>
    <w:rsid w:val="00A3494A"/>
    <w:rsid w:val="00A35F9C"/>
    <w:rsid w:val="00A458E7"/>
    <w:rsid w:val="00A60CB4"/>
    <w:rsid w:val="00A63CD0"/>
    <w:rsid w:val="00A63F64"/>
    <w:rsid w:val="00A71994"/>
    <w:rsid w:val="00A830C2"/>
    <w:rsid w:val="00A96943"/>
    <w:rsid w:val="00A973B8"/>
    <w:rsid w:val="00A97CDA"/>
    <w:rsid w:val="00AB07BD"/>
    <w:rsid w:val="00AC7454"/>
    <w:rsid w:val="00AF66E2"/>
    <w:rsid w:val="00B277A7"/>
    <w:rsid w:val="00B41FA1"/>
    <w:rsid w:val="00B422C8"/>
    <w:rsid w:val="00B43918"/>
    <w:rsid w:val="00B561EE"/>
    <w:rsid w:val="00B63046"/>
    <w:rsid w:val="00B653D1"/>
    <w:rsid w:val="00B667D1"/>
    <w:rsid w:val="00B704D9"/>
    <w:rsid w:val="00B72E5D"/>
    <w:rsid w:val="00B82723"/>
    <w:rsid w:val="00B82A96"/>
    <w:rsid w:val="00BA6AD8"/>
    <w:rsid w:val="00BC7424"/>
    <w:rsid w:val="00BD086C"/>
    <w:rsid w:val="00BD14C8"/>
    <w:rsid w:val="00BD22A3"/>
    <w:rsid w:val="00BD4EA9"/>
    <w:rsid w:val="00BD755E"/>
    <w:rsid w:val="00BE138B"/>
    <w:rsid w:val="00BE3758"/>
    <w:rsid w:val="00BE3A32"/>
    <w:rsid w:val="00BE7053"/>
    <w:rsid w:val="00BF3C57"/>
    <w:rsid w:val="00C04CAF"/>
    <w:rsid w:val="00C0654C"/>
    <w:rsid w:val="00C14880"/>
    <w:rsid w:val="00C2078C"/>
    <w:rsid w:val="00C22C00"/>
    <w:rsid w:val="00C23EE9"/>
    <w:rsid w:val="00C305CF"/>
    <w:rsid w:val="00C34B29"/>
    <w:rsid w:val="00C34F1D"/>
    <w:rsid w:val="00C3567F"/>
    <w:rsid w:val="00C360AE"/>
    <w:rsid w:val="00C37995"/>
    <w:rsid w:val="00C47372"/>
    <w:rsid w:val="00C54297"/>
    <w:rsid w:val="00C70423"/>
    <w:rsid w:val="00C74160"/>
    <w:rsid w:val="00C941D6"/>
    <w:rsid w:val="00C9756E"/>
    <w:rsid w:val="00CB109D"/>
    <w:rsid w:val="00CB2652"/>
    <w:rsid w:val="00CB3C68"/>
    <w:rsid w:val="00CB3F71"/>
    <w:rsid w:val="00CB4B28"/>
    <w:rsid w:val="00CE0B7E"/>
    <w:rsid w:val="00CE268A"/>
    <w:rsid w:val="00CE7C49"/>
    <w:rsid w:val="00CF22AC"/>
    <w:rsid w:val="00CF38A0"/>
    <w:rsid w:val="00CF68FD"/>
    <w:rsid w:val="00D119D2"/>
    <w:rsid w:val="00D14FCD"/>
    <w:rsid w:val="00D2592D"/>
    <w:rsid w:val="00D26118"/>
    <w:rsid w:val="00D3542F"/>
    <w:rsid w:val="00D41944"/>
    <w:rsid w:val="00D428EC"/>
    <w:rsid w:val="00D43D46"/>
    <w:rsid w:val="00D81420"/>
    <w:rsid w:val="00D90B06"/>
    <w:rsid w:val="00D9148F"/>
    <w:rsid w:val="00DA028F"/>
    <w:rsid w:val="00DA03F1"/>
    <w:rsid w:val="00DA29B9"/>
    <w:rsid w:val="00DA2E0C"/>
    <w:rsid w:val="00DA4D59"/>
    <w:rsid w:val="00DA64DE"/>
    <w:rsid w:val="00DA6F64"/>
    <w:rsid w:val="00DA7456"/>
    <w:rsid w:val="00DB0427"/>
    <w:rsid w:val="00DB5C27"/>
    <w:rsid w:val="00DC0445"/>
    <w:rsid w:val="00DC5166"/>
    <w:rsid w:val="00DE6658"/>
    <w:rsid w:val="00DF6516"/>
    <w:rsid w:val="00DF6C30"/>
    <w:rsid w:val="00E0201F"/>
    <w:rsid w:val="00E05527"/>
    <w:rsid w:val="00E1707A"/>
    <w:rsid w:val="00E222CC"/>
    <w:rsid w:val="00E2363F"/>
    <w:rsid w:val="00E25365"/>
    <w:rsid w:val="00E277A8"/>
    <w:rsid w:val="00E3059C"/>
    <w:rsid w:val="00E31C97"/>
    <w:rsid w:val="00E32CC2"/>
    <w:rsid w:val="00E36E67"/>
    <w:rsid w:val="00E422E7"/>
    <w:rsid w:val="00E4314C"/>
    <w:rsid w:val="00E46500"/>
    <w:rsid w:val="00E477A1"/>
    <w:rsid w:val="00E51B86"/>
    <w:rsid w:val="00E52BDE"/>
    <w:rsid w:val="00E5305A"/>
    <w:rsid w:val="00E6221B"/>
    <w:rsid w:val="00E63644"/>
    <w:rsid w:val="00E67804"/>
    <w:rsid w:val="00E806AE"/>
    <w:rsid w:val="00E90EA3"/>
    <w:rsid w:val="00EA58B8"/>
    <w:rsid w:val="00EA5EE0"/>
    <w:rsid w:val="00EB29F9"/>
    <w:rsid w:val="00EB3922"/>
    <w:rsid w:val="00EB4AC2"/>
    <w:rsid w:val="00ED0D3A"/>
    <w:rsid w:val="00EE4A5D"/>
    <w:rsid w:val="00EE4D68"/>
    <w:rsid w:val="00EE748F"/>
    <w:rsid w:val="00EE75A1"/>
    <w:rsid w:val="00EF4FF4"/>
    <w:rsid w:val="00F06038"/>
    <w:rsid w:val="00F11AFE"/>
    <w:rsid w:val="00F14639"/>
    <w:rsid w:val="00F3053A"/>
    <w:rsid w:val="00F32E0C"/>
    <w:rsid w:val="00F338C0"/>
    <w:rsid w:val="00F35794"/>
    <w:rsid w:val="00F578AA"/>
    <w:rsid w:val="00F6181A"/>
    <w:rsid w:val="00F70AE2"/>
    <w:rsid w:val="00F71736"/>
    <w:rsid w:val="00F71A50"/>
    <w:rsid w:val="00F75B07"/>
    <w:rsid w:val="00F9409F"/>
    <w:rsid w:val="00F94E87"/>
    <w:rsid w:val="00FA0A28"/>
    <w:rsid w:val="00FA62E8"/>
    <w:rsid w:val="00FB0747"/>
    <w:rsid w:val="00FC0474"/>
    <w:rsid w:val="00FC07E3"/>
    <w:rsid w:val="00FD5A95"/>
    <w:rsid w:val="00FE0E20"/>
    <w:rsid w:val="00FF3734"/>
    <w:rsid w:val="00FF507C"/>
    <w:rsid w:val="776730BE"/>
    <w:rsid w:val="9FFF92A9"/>
    <w:rsid w:val="ADFFF5E5"/>
    <w:rsid w:val="AFE84A63"/>
    <w:rsid w:val="F077D4EB"/>
    <w:rsid w:val="FBF5CCDB"/>
    <w:rsid w:val="FFED906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59" w:lineRule="auto"/>
    </w:pPr>
    <w:rPr>
      <w:rFonts w:ascii="Times New Roman" w:hAnsi="Times New Roman" w:eastAsia="宋体" w:cstheme="minorBidi"/>
      <w:kern w:val="2"/>
      <w:sz w:val="24"/>
      <w:szCs w:val="24"/>
      <w:lang w:val="en-US" w:eastAsia="zh-CN" w:bidi="ar-SA"/>
      <w14:ligatures w14:val="standardContextual"/>
    </w:rPr>
  </w:style>
  <w:style w:type="paragraph" w:styleId="2">
    <w:name w:val="heading 1"/>
    <w:basedOn w:val="1"/>
    <w:next w:val="1"/>
    <w:link w:val="2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7"/>
    <w:semiHidden/>
    <w:unhideWhenUsed/>
    <w:qFormat/>
    <w:uiPriority w:val="9"/>
    <w:pPr>
      <w:keepNext/>
      <w:keepLines/>
      <w:spacing w:before="160" w:after="80"/>
      <w:outlineLvl w:val="2"/>
    </w:pPr>
    <w:rPr>
      <w:rFonts w:asciiTheme="minorHAnsi" w:hAnsiTheme="minorHAnsi" w:eastAsiaTheme="majorEastAsia" w:cstheme="majorBidi"/>
      <w:color w:val="104862" w:themeColor="accent1" w:themeShade="BF"/>
      <w:sz w:val="28"/>
      <w:szCs w:val="28"/>
    </w:rPr>
  </w:style>
  <w:style w:type="paragraph" w:styleId="5">
    <w:name w:val="heading 4"/>
    <w:basedOn w:val="1"/>
    <w:next w:val="1"/>
    <w:link w:val="28"/>
    <w:semiHidden/>
    <w:unhideWhenUsed/>
    <w:qFormat/>
    <w:uiPriority w:val="9"/>
    <w:pPr>
      <w:keepNext/>
      <w:keepLines/>
      <w:spacing w:before="80" w:after="40"/>
      <w:outlineLvl w:val="3"/>
    </w:pPr>
    <w:rPr>
      <w:rFonts w:asciiTheme="minorHAnsi" w:hAnsiTheme="minorHAnsi" w:eastAsiaTheme="majorEastAsia" w:cstheme="majorBidi"/>
      <w:i/>
      <w:iCs/>
      <w:color w:val="104862" w:themeColor="accent1" w:themeShade="BF"/>
    </w:rPr>
  </w:style>
  <w:style w:type="paragraph" w:styleId="6">
    <w:name w:val="heading 5"/>
    <w:basedOn w:val="1"/>
    <w:next w:val="1"/>
    <w:link w:val="29"/>
    <w:semiHidden/>
    <w:unhideWhenUsed/>
    <w:qFormat/>
    <w:uiPriority w:val="9"/>
    <w:pPr>
      <w:keepNext/>
      <w:keepLines/>
      <w:spacing w:before="80" w:after="40"/>
      <w:outlineLvl w:val="4"/>
    </w:pPr>
    <w:rPr>
      <w:rFonts w:asciiTheme="minorHAnsi" w:hAnsiTheme="minorHAnsi" w:eastAsiaTheme="majorEastAsia" w:cstheme="majorBidi"/>
      <w:color w:val="104862" w:themeColor="accent1" w:themeShade="BF"/>
    </w:rPr>
  </w:style>
  <w:style w:type="paragraph" w:styleId="7">
    <w:name w:val="heading 6"/>
    <w:basedOn w:val="1"/>
    <w:next w:val="1"/>
    <w:link w:val="30"/>
    <w:semiHidden/>
    <w:unhideWhenUsed/>
    <w:qFormat/>
    <w:uiPriority w:val="9"/>
    <w:pPr>
      <w:keepNext/>
      <w:keepLines/>
      <w:spacing w:before="4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1"/>
    <w:semiHidden/>
    <w:unhideWhenUsed/>
    <w:qFormat/>
    <w:uiPriority w:val="9"/>
    <w:pPr>
      <w:keepNext/>
      <w:keepLines/>
      <w:spacing w:before="4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2"/>
    <w:semiHidden/>
    <w:unhideWhenUsed/>
    <w:qFormat/>
    <w:uiPriority w:val="9"/>
    <w:pPr>
      <w:keepNext/>
      <w:keepLines/>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3"/>
    <w:semiHidden/>
    <w:unhideWhenUsed/>
    <w:qFormat/>
    <w:uiPriority w:val="9"/>
    <w:pPr>
      <w:keepNext/>
      <w:keepLines/>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24"/>
    <w:unhideWhenUsed/>
    <w:qFormat/>
    <w:uiPriority w:val="99"/>
    <w:pPr>
      <w:snapToGrid w:val="0"/>
      <w:spacing w:line="240" w:lineRule="auto"/>
    </w:pPr>
    <w:rPr>
      <w:rFonts w:ascii="Arial" w:hAnsi="Arial"/>
      <w:sz w:val="20"/>
      <w:szCs w:val="20"/>
    </w:rPr>
  </w:style>
  <w:style w:type="paragraph" w:styleId="12">
    <w:name w:val="footer"/>
    <w:basedOn w:val="1"/>
    <w:link w:val="45"/>
    <w:unhideWhenUsed/>
    <w:qFormat/>
    <w:uiPriority w:val="99"/>
    <w:pPr>
      <w:widowControl w:val="0"/>
      <w:tabs>
        <w:tab w:val="center" w:pos="4153"/>
        <w:tab w:val="right" w:pos="8306"/>
      </w:tabs>
      <w:snapToGrid w:val="0"/>
      <w:spacing w:after="160" w:line="240" w:lineRule="auto"/>
    </w:pPr>
    <w:rPr>
      <w:rFonts w:asciiTheme="minorHAnsi" w:hAnsiTheme="minorHAnsi" w:eastAsiaTheme="minorEastAsia"/>
      <w:sz w:val="18"/>
      <w:szCs w:val="18"/>
    </w:rPr>
  </w:style>
  <w:style w:type="paragraph" w:styleId="13">
    <w:name w:val="header"/>
    <w:basedOn w:val="1"/>
    <w:link w:val="44"/>
    <w:unhideWhenUsed/>
    <w:qFormat/>
    <w:uiPriority w:val="99"/>
    <w:pPr>
      <w:widowControl w:val="0"/>
      <w:tabs>
        <w:tab w:val="center" w:pos="4153"/>
        <w:tab w:val="right" w:pos="8306"/>
      </w:tabs>
      <w:snapToGrid w:val="0"/>
      <w:spacing w:after="160" w:line="240" w:lineRule="auto"/>
      <w:jc w:val="center"/>
    </w:pPr>
    <w:rPr>
      <w:rFonts w:asciiTheme="minorHAnsi" w:hAnsiTheme="minorHAnsi" w:eastAsiaTheme="minorEastAsia"/>
      <w:sz w:val="18"/>
      <w:szCs w:val="18"/>
    </w:rPr>
  </w:style>
  <w:style w:type="paragraph" w:styleId="14">
    <w:name w:val="Subtitle"/>
    <w:basedOn w:val="1"/>
    <w:next w:val="1"/>
    <w:link w:val="35"/>
    <w:qFormat/>
    <w:uiPriority w:val="11"/>
    <w:pPr>
      <w:spacing w:after="160"/>
    </w:pPr>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footnote text"/>
    <w:basedOn w:val="1"/>
    <w:link w:val="46"/>
    <w:semiHidden/>
    <w:unhideWhenUsed/>
    <w:qFormat/>
    <w:uiPriority w:val="99"/>
    <w:pPr>
      <w:widowControl w:val="0"/>
      <w:snapToGrid w:val="0"/>
      <w:spacing w:after="160" w:line="278" w:lineRule="auto"/>
    </w:pPr>
    <w:rPr>
      <w:rFonts w:asciiTheme="minorHAnsi" w:hAnsiTheme="minorHAnsi" w:eastAsiaTheme="minorEastAsia"/>
      <w:sz w:val="18"/>
      <w:szCs w:val="18"/>
    </w:rPr>
  </w:style>
  <w:style w:type="paragraph" w:styleId="16">
    <w:name w:val="Normal (Web)"/>
    <w:basedOn w:val="1"/>
    <w:semiHidden/>
    <w:unhideWhenUsed/>
    <w:qFormat/>
    <w:uiPriority w:val="99"/>
    <w:pPr>
      <w:widowControl w:val="0"/>
      <w:spacing w:after="160" w:line="278" w:lineRule="auto"/>
    </w:pPr>
    <w:rPr>
      <w:rFonts w:cs="Times New Roman" w:eastAsiaTheme="minorEastAsia"/>
    </w:rPr>
  </w:style>
  <w:style w:type="paragraph" w:styleId="17">
    <w:name w:val="Title"/>
    <w:basedOn w:val="1"/>
    <w:next w:val="1"/>
    <w:link w:val="3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8">
    <w:name w:val="annotation subject"/>
    <w:basedOn w:val="11"/>
    <w:next w:val="11"/>
    <w:link w:val="43"/>
    <w:semiHidden/>
    <w:unhideWhenUsed/>
    <w:qFormat/>
    <w:uiPriority w:val="99"/>
    <w:pPr>
      <w:snapToGrid/>
    </w:pPr>
    <w:rPr>
      <w:rFonts w:ascii="Times New Roman" w:hAnsi="Times New Roman"/>
      <w:b/>
      <w:bCs/>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annotation reference"/>
    <w:basedOn w:val="21"/>
    <w:semiHidden/>
    <w:unhideWhenUsed/>
    <w:qFormat/>
    <w:uiPriority w:val="99"/>
    <w:rPr>
      <w:sz w:val="16"/>
      <w:szCs w:val="16"/>
    </w:rPr>
  </w:style>
  <w:style w:type="character" w:styleId="23">
    <w:name w:val="footnote reference"/>
    <w:basedOn w:val="21"/>
    <w:semiHidden/>
    <w:unhideWhenUsed/>
    <w:qFormat/>
    <w:uiPriority w:val="99"/>
    <w:rPr>
      <w:vertAlign w:val="superscript"/>
    </w:rPr>
  </w:style>
  <w:style w:type="character" w:customStyle="1" w:styleId="24">
    <w:name w:val="批注文字 字符"/>
    <w:basedOn w:val="21"/>
    <w:link w:val="11"/>
    <w:qFormat/>
    <w:uiPriority w:val="99"/>
    <w:rPr>
      <w:rFonts w:ascii="Arial" w:hAnsi="Arial"/>
      <w:sz w:val="20"/>
      <w:szCs w:val="20"/>
    </w:rPr>
  </w:style>
  <w:style w:type="character" w:customStyle="1" w:styleId="25">
    <w:name w:val="标题 1 字符"/>
    <w:basedOn w:val="21"/>
    <w:link w:val="2"/>
    <w:qFormat/>
    <w:uiPriority w:val="9"/>
    <w:rPr>
      <w:rFonts w:asciiTheme="majorHAnsi" w:hAnsiTheme="majorHAnsi" w:eastAsiaTheme="majorEastAsia" w:cstheme="majorBidi"/>
      <w:color w:val="104862" w:themeColor="accent1" w:themeShade="BF"/>
      <w:sz w:val="40"/>
      <w:szCs w:val="40"/>
    </w:rPr>
  </w:style>
  <w:style w:type="character" w:customStyle="1" w:styleId="26">
    <w:name w:val="标题 2 字符"/>
    <w:basedOn w:val="2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7">
    <w:name w:val="标题 3 字符"/>
    <w:basedOn w:val="21"/>
    <w:link w:val="4"/>
    <w:semiHidden/>
    <w:qFormat/>
    <w:uiPriority w:val="9"/>
    <w:rPr>
      <w:rFonts w:asciiTheme="minorHAnsi" w:hAnsiTheme="minorHAnsi" w:eastAsiaTheme="majorEastAsia" w:cstheme="majorBidi"/>
      <w:color w:val="104862" w:themeColor="accent1" w:themeShade="BF"/>
      <w:sz w:val="28"/>
      <w:szCs w:val="28"/>
    </w:rPr>
  </w:style>
  <w:style w:type="character" w:customStyle="1" w:styleId="28">
    <w:name w:val="标题 4 字符"/>
    <w:basedOn w:val="21"/>
    <w:link w:val="5"/>
    <w:semiHidden/>
    <w:qFormat/>
    <w:uiPriority w:val="9"/>
    <w:rPr>
      <w:rFonts w:asciiTheme="minorHAnsi" w:hAnsiTheme="minorHAnsi" w:eastAsiaTheme="majorEastAsia" w:cstheme="majorBidi"/>
      <w:i/>
      <w:iCs/>
      <w:color w:val="104862" w:themeColor="accent1" w:themeShade="BF"/>
    </w:rPr>
  </w:style>
  <w:style w:type="character" w:customStyle="1" w:styleId="29">
    <w:name w:val="标题 5 字符"/>
    <w:basedOn w:val="21"/>
    <w:link w:val="6"/>
    <w:semiHidden/>
    <w:qFormat/>
    <w:uiPriority w:val="9"/>
    <w:rPr>
      <w:rFonts w:asciiTheme="minorHAnsi" w:hAnsiTheme="minorHAnsi" w:eastAsiaTheme="majorEastAsia" w:cstheme="majorBidi"/>
      <w:color w:val="104862" w:themeColor="accent1" w:themeShade="BF"/>
    </w:rPr>
  </w:style>
  <w:style w:type="character" w:customStyle="1" w:styleId="30">
    <w:name w:val="标题 6 字符"/>
    <w:basedOn w:val="21"/>
    <w:link w:val="7"/>
    <w:semiHidden/>
    <w:qFormat/>
    <w:uiPriority w:val="9"/>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1">
    <w:name w:val="标题 7 字符"/>
    <w:basedOn w:val="21"/>
    <w:link w:val="8"/>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8 字符"/>
    <w:basedOn w:val="21"/>
    <w:link w:val="9"/>
    <w:semiHidden/>
    <w:qFormat/>
    <w:uiPriority w:val="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3">
    <w:name w:val="标题 9 字符"/>
    <w:basedOn w:val="21"/>
    <w:link w:val="10"/>
    <w:semiHidden/>
    <w:qFormat/>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4">
    <w:name w:val="标题 字符"/>
    <w:basedOn w:val="21"/>
    <w:link w:val="17"/>
    <w:qFormat/>
    <w:uiPriority w:val="10"/>
    <w:rPr>
      <w:rFonts w:asciiTheme="majorHAnsi" w:hAnsiTheme="majorHAnsi" w:eastAsiaTheme="majorEastAsia" w:cstheme="majorBidi"/>
      <w:spacing w:val="-10"/>
      <w:kern w:val="28"/>
      <w:sz w:val="56"/>
      <w:szCs w:val="56"/>
    </w:rPr>
  </w:style>
  <w:style w:type="character" w:customStyle="1" w:styleId="35">
    <w:name w:val="副标题 字符"/>
    <w:basedOn w:val="21"/>
    <w:link w:val="14"/>
    <w:qFormat/>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引用 字符"/>
    <w:basedOn w:val="21"/>
    <w:link w:val="36"/>
    <w:qFormat/>
    <w:uiPriority w:val="29"/>
    <w:rPr>
      <w:i/>
      <w:iCs/>
      <w:color w:val="404040" w:themeColor="text1" w:themeTint="BF"/>
      <w14:textFill>
        <w14:solidFill>
          <w14:schemeClr w14:val="tx1">
            <w14:lumMod w14:val="75000"/>
            <w14:lumOff w14:val="25000"/>
          </w14:schemeClr>
        </w14:solidFill>
      </w14:textFill>
    </w:rPr>
  </w:style>
  <w:style w:type="paragraph" w:styleId="38">
    <w:name w:val="List Paragraph"/>
    <w:basedOn w:val="1"/>
    <w:qFormat/>
    <w:uiPriority w:val="34"/>
    <w:pPr>
      <w:ind w:left="720"/>
      <w:contextualSpacing/>
    </w:pPr>
  </w:style>
  <w:style w:type="character" w:customStyle="1" w:styleId="39">
    <w:name w:val="明显强调1"/>
    <w:basedOn w:val="21"/>
    <w:qFormat/>
    <w:uiPriority w:val="21"/>
    <w:rPr>
      <w:i/>
      <w:iCs/>
      <w:color w:val="104862" w:themeColor="accent1" w:themeShade="BF"/>
    </w:rPr>
  </w:style>
  <w:style w:type="paragraph" w:styleId="40">
    <w:name w:val="Intense Quote"/>
    <w:basedOn w:val="1"/>
    <w:next w:val="1"/>
    <w:link w:val="4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1">
    <w:name w:val="明显引用 字符"/>
    <w:basedOn w:val="21"/>
    <w:link w:val="40"/>
    <w:qFormat/>
    <w:uiPriority w:val="30"/>
    <w:rPr>
      <w:i/>
      <w:iCs/>
      <w:color w:val="104862" w:themeColor="accent1" w:themeShade="BF"/>
    </w:rPr>
  </w:style>
  <w:style w:type="character" w:customStyle="1" w:styleId="42">
    <w:name w:val="明显参考1"/>
    <w:basedOn w:val="21"/>
    <w:qFormat/>
    <w:uiPriority w:val="32"/>
    <w:rPr>
      <w:b/>
      <w:bCs/>
      <w:smallCaps/>
      <w:color w:val="104862" w:themeColor="accent1" w:themeShade="BF"/>
      <w:spacing w:val="5"/>
    </w:rPr>
  </w:style>
  <w:style w:type="character" w:customStyle="1" w:styleId="43">
    <w:name w:val="批注主题 字符"/>
    <w:basedOn w:val="24"/>
    <w:link w:val="18"/>
    <w:semiHidden/>
    <w:qFormat/>
    <w:uiPriority w:val="99"/>
    <w:rPr>
      <w:rFonts w:ascii="Arial" w:hAnsi="Arial"/>
      <w:b/>
      <w:bCs/>
      <w:sz w:val="20"/>
      <w:szCs w:val="20"/>
    </w:rPr>
  </w:style>
  <w:style w:type="character" w:customStyle="1" w:styleId="44">
    <w:name w:val="页眉 字符"/>
    <w:basedOn w:val="21"/>
    <w:link w:val="13"/>
    <w:qFormat/>
    <w:uiPriority w:val="99"/>
    <w:rPr>
      <w:rFonts w:asciiTheme="minorHAnsi" w:hAnsiTheme="minorHAnsi" w:eastAsiaTheme="minorEastAsia"/>
      <w:sz w:val="18"/>
      <w:szCs w:val="18"/>
    </w:rPr>
  </w:style>
  <w:style w:type="character" w:customStyle="1" w:styleId="45">
    <w:name w:val="页脚 字符"/>
    <w:basedOn w:val="21"/>
    <w:link w:val="12"/>
    <w:qFormat/>
    <w:uiPriority w:val="99"/>
    <w:rPr>
      <w:rFonts w:asciiTheme="minorHAnsi" w:hAnsiTheme="minorHAnsi" w:eastAsiaTheme="minorEastAsia"/>
      <w:sz w:val="18"/>
      <w:szCs w:val="18"/>
    </w:rPr>
  </w:style>
  <w:style w:type="character" w:customStyle="1" w:styleId="46">
    <w:name w:val="脚注文本 字符"/>
    <w:basedOn w:val="21"/>
    <w:link w:val="15"/>
    <w:semiHidden/>
    <w:qFormat/>
    <w:uiPriority w:val="99"/>
    <w:rPr>
      <w:rFonts w:asciiTheme="minorHAnsi" w:hAnsiTheme="minorHAnsi" w:eastAsiaTheme="minorEastAsia"/>
      <w:sz w:val="18"/>
      <w:szCs w:val="18"/>
    </w:rPr>
  </w:style>
  <w:style w:type="paragraph" w:styleId="47">
    <w:name w:val="No Spacing"/>
    <w:qFormat/>
    <w:uiPriority w:val="1"/>
    <w:pPr>
      <w:widowControl w:val="0"/>
    </w:pPr>
    <w:rPr>
      <w:rFonts w:asciiTheme="minorHAnsi" w:hAnsiTheme="minorHAnsi" w:eastAsiaTheme="minorEastAsia" w:cstheme="minorBidi"/>
      <w:kern w:val="2"/>
      <w:sz w:val="22"/>
      <w:szCs w:val="24"/>
      <w:lang w:val="en-US" w:eastAsia="zh-CN" w:bidi="ar-SA"/>
      <w14:ligatures w14:val="standardContextual"/>
    </w:rPr>
  </w:style>
  <w:style w:type="paragraph" w:customStyle="1" w:styleId="48">
    <w:name w:val="Revision"/>
    <w:hidden/>
    <w:unhideWhenUsed/>
    <w:qFormat/>
    <w:uiPriority w:val="99"/>
    <w:rPr>
      <w:rFonts w:ascii="Times New Roman" w:hAnsi="Times New Roman" w:eastAsia="宋体" w:cstheme="minorBidi"/>
      <w:kern w:val="2"/>
      <w:sz w:val="24"/>
      <w:szCs w:val="24"/>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3C31D0-EB8E-4E8E-8FDB-634E3DE72605}">
  <ds:schemaRefs/>
</ds:datastoreItem>
</file>

<file path=docProps/app.xml><?xml version="1.0" encoding="utf-8"?>
<Properties xmlns="http://schemas.openxmlformats.org/officeDocument/2006/extended-properties" xmlns:vt="http://schemas.openxmlformats.org/officeDocument/2006/docPropsVTypes">
  <Pages>18</Pages>
  <Words>6148</Words>
  <Characters>34804</Characters>
  <Lines>1054</Lines>
  <Paragraphs>353</Paragraphs>
  <TotalTime>3</TotalTime>
  <ScaleCrop>false</ScaleCrop>
  <LinksUpToDate>false</LinksUpToDate>
  <CharactersWithSpaces>40599</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2026-06-09T03:27:00Z</dcterms:created>
  <dc:creator>Ubica</dc:creator>
  <cp:lastModifiedBy>yao.yuhua</cp:lastModifiedBy>
  <cp:lastPrinted>2026-06-25T09:39:27Z</cp:lastPrinted>
  <dcterms:modified xsi:type="dcterms:W3CDTF">2026-06-25T09:39:29Z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F214D4AFF1256951F1821E6A327C0181</vt:lpwstr>
  </property>
</Properties>
</file>