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napToGrid w:val="0"/>
        <w:spacing w:before="0" w:beforeAutospacing="0" w:after="0" w:afterAutospacing="0" w:line="256" w:lineRule="auto"/>
        <w:ind w:left="0" w:right="0"/>
        <w:jc w:val="left"/>
        <w:rPr>
          <w:rFonts w:hint="eastAsia" w:ascii="Times New Roman" w:hAnsi="Times New Roman" w:eastAsia="方正大标宋简体" w:cs="Times New Roman"/>
          <w:b/>
          <w:bCs/>
          <w:sz w:val="36"/>
          <w:szCs w:val="36"/>
          <w:lang w:val="en-US" w:eastAsia="zh-CN"/>
        </w:rPr>
      </w:pPr>
      <w:r>
        <w:rPr>
          <w:rFonts w:hint="eastAsia" w:ascii="Times New Roman" w:hAnsi="Times New Roman" w:eastAsia="方正大标宋简体" w:cs="Times New Roman"/>
          <w:b/>
          <w:bCs/>
          <w:sz w:val="36"/>
          <w:szCs w:val="36"/>
          <w:lang w:val="en-US" w:eastAsia="zh-CN"/>
        </w:rPr>
        <w:t>Annex 1</w:t>
      </w:r>
    </w:p>
    <w:p>
      <w:pPr>
        <w:keepNext w:val="0"/>
        <w:keepLines w:val="0"/>
        <w:widowControl/>
        <w:suppressLineNumbers w:val="0"/>
        <w:snapToGrid w:val="0"/>
        <w:spacing w:before="0" w:beforeAutospacing="0" w:after="0" w:afterAutospacing="0" w:line="256" w:lineRule="auto"/>
        <w:ind w:left="0" w:right="0"/>
        <w:jc w:val="left"/>
        <w:rPr>
          <w:rFonts w:hint="default" w:ascii="Times New Roman" w:hAnsi="Times New Roman" w:eastAsia="方正大标宋简体" w:cs="Times New Roman"/>
          <w:b/>
          <w:bCs/>
          <w:sz w:val="36"/>
          <w:szCs w:val="36"/>
          <w:lang w:val="en-US" w:eastAsia="zh-CN"/>
        </w:rPr>
      </w:pPr>
    </w:p>
    <w:p>
      <w:pPr>
        <w:keepNext w:val="0"/>
        <w:keepLines w:val="0"/>
        <w:widowControl/>
        <w:suppressLineNumbers w:val="0"/>
        <w:snapToGrid w:val="0"/>
        <w:spacing w:before="0" w:beforeAutospacing="0" w:after="0" w:afterAutospacing="0" w:line="256" w:lineRule="auto"/>
        <w:ind w:left="0" w:right="0"/>
        <w:jc w:val="center"/>
        <w:rPr>
          <w:rFonts w:hint="default" w:ascii="Times New Roman" w:hAnsi="Times New Roman" w:eastAsia="宋体" w:cs="Times New Roman"/>
          <w:i/>
          <w:iCs/>
          <w:color w:val="auto"/>
          <w:kern w:val="2"/>
          <w:sz w:val="28"/>
          <w:szCs w:val="28"/>
          <w:lang w:val="en-US" w:eastAsia="zh-CN" w:bidi="ar"/>
        </w:rPr>
      </w:pPr>
      <w:r>
        <w:rPr>
          <w:rFonts w:hint="default" w:ascii="Times New Roman" w:hAnsi="Times New Roman" w:eastAsia="方正大标宋简体" w:cs="Times New Roman"/>
          <w:b/>
          <w:bCs/>
          <w:sz w:val="36"/>
          <w:szCs w:val="36"/>
        </w:rPr>
        <w:t>Comparative Table</w:t>
      </w:r>
      <w:r>
        <w:rPr>
          <w:rFonts w:hint="eastAsia" w:ascii="Times New Roman" w:hAnsi="Times New Roman" w:eastAsia="方正大标宋简体" w:cs="Times New Roman"/>
          <w:b/>
          <w:bCs/>
          <w:sz w:val="36"/>
          <w:szCs w:val="36"/>
          <w:lang w:val="en-US" w:eastAsia="zh-CN"/>
        </w:rPr>
        <w:t xml:space="preserve"> to </w:t>
      </w:r>
      <w:r>
        <w:rPr>
          <w:rFonts w:hint="eastAsia" w:ascii="Times New Roman" w:hAnsi="Times New Roman" w:eastAsia="方正大标宋简体" w:cs="Times New Roman"/>
          <w:b/>
          <w:bCs/>
          <w:i/>
          <w:iCs/>
          <w:sz w:val="36"/>
          <w:szCs w:val="36"/>
          <w:lang w:val="en-US" w:eastAsia="zh-CN"/>
        </w:rPr>
        <w:t>Trading Rules of the Shanghai International Energy Exchange</w:t>
      </w:r>
    </w:p>
    <w:p>
      <w:pPr>
        <w:keepNext w:val="0"/>
        <w:keepLines w:val="0"/>
        <w:widowControl/>
        <w:suppressLineNumbers w:val="0"/>
        <w:snapToGrid w:val="0"/>
        <w:spacing w:before="0" w:beforeAutospacing="0" w:after="0" w:afterAutospacing="0" w:line="256" w:lineRule="auto"/>
        <w:ind w:left="0" w:right="0"/>
        <w:jc w:val="left"/>
        <w:rPr>
          <w:rFonts w:hint="default" w:ascii="Times New Roman" w:hAnsi="Times New Roman" w:eastAsia="宋体" w:cs="Times New Roman"/>
          <w:color w:val="auto"/>
          <w:kern w:val="2"/>
          <w:sz w:val="28"/>
          <w:szCs w:val="28"/>
          <w:lang w:val="en-US" w:eastAsia="zh-CN" w:bidi="ar"/>
        </w:rPr>
      </w:pPr>
    </w:p>
    <w:p>
      <w:pPr>
        <w:keepNext w:val="0"/>
        <w:keepLines w:val="0"/>
        <w:widowControl/>
        <w:suppressLineNumbers w:val="0"/>
        <w:snapToGrid w:val="0"/>
        <w:spacing w:before="0" w:beforeAutospacing="0" w:after="0" w:afterAutospacing="0" w:line="256" w:lineRule="auto"/>
        <w:ind w:left="0" w:right="0"/>
        <w:jc w:val="left"/>
        <w:rPr>
          <w:rFonts w:hint="default" w:ascii="Times New Roman" w:hAnsi="Times New Roman" w:eastAsia="宋体" w:cs="Times New Roman"/>
          <w:color w:val="auto"/>
          <w:kern w:val="2"/>
          <w:sz w:val="28"/>
          <w:szCs w:val="28"/>
          <w:lang w:val="en-US" w:eastAsia="zh-CN" w:bidi="ar"/>
        </w:rPr>
      </w:pPr>
      <w:r>
        <w:rPr>
          <w:rFonts w:hint="default" w:ascii="Times New Roman" w:hAnsi="Times New Roman" w:eastAsia="宋体" w:cs="Times New Roman"/>
          <w:color w:val="auto"/>
          <w:kern w:val="2"/>
          <w:sz w:val="28"/>
          <w:szCs w:val="28"/>
          <w:lang w:val="en-US" w:eastAsia="zh-CN" w:bidi="ar"/>
        </w:rPr>
        <w:t>Note: Bolded sections in red are newly added and sections with double strikethroughs are deleted.</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7"/>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shd w:val="clear" w:color="auto" w:fill="5B9BD5" w:themeFill="accent1"/>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cs="Times New Roman" w:eastAsiaTheme="minorEastAsia"/>
                <w:b/>
                <w:bCs/>
                <w:color w:val="FFFFFF" w:themeColor="background1"/>
                <w:sz w:val="32"/>
                <w:szCs w:val="32"/>
                <w:vertAlign w:val="baseline"/>
                <w:lang w:val="en-US" w:eastAsia="zh-CN"/>
                <w14:textFill>
                  <w14:solidFill>
                    <w14:schemeClr w14:val="bg1"/>
                  </w14:solidFill>
                </w14:textFill>
              </w:rPr>
            </w:pPr>
            <w:r>
              <w:rPr>
                <w:rFonts w:hint="eastAsia" w:ascii="Times New Roman" w:hAnsi="Times New Roman" w:cs="Times New Roman"/>
                <w:b/>
                <w:bCs/>
                <w:color w:val="FFFFFF" w:themeColor="background1"/>
                <w:sz w:val="32"/>
                <w:szCs w:val="32"/>
                <w:vertAlign w:val="baseline"/>
                <w:lang w:val="en-US" w:eastAsia="zh-CN"/>
                <w14:textFill>
                  <w14:solidFill>
                    <w14:schemeClr w14:val="bg1"/>
                  </w14:solidFill>
                </w14:textFill>
              </w:rPr>
              <w:t>Revised</w:t>
            </w:r>
          </w:p>
        </w:tc>
        <w:tc>
          <w:tcPr>
            <w:tcW w:w="7087" w:type="dxa"/>
            <w:shd w:val="clear" w:color="auto" w:fill="5B9BD5" w:themeFill="accent1"/>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cs="Times New Roman" w:eastAsiaTheme="minorEastAsia"/>
                <w:b/>
                <w:bCs/>
                <w:color w:val="FFFFFF" w:themeColor="background1"/>
                <w:sz w:val="32"/>
                <w:szCs w:val="32"/>
                <w:vertAlign w:val="baseline"/>
                <w:lang w:val="en-US" w:eastAsia="zh-CN"/>
                <w14:textFill>
                  <w14:solidFill>
                    <w14:schemeClr w14:val="bg1"/>
                  </w14:solidFill>
                </w14:textFill>
              </w:rPr>
            </w:pPr>
            <w:r>
              <w:rPr>
                <w:rFonts w:hint="eastAsia" w:ascii="Times New Roman" w:hAnsi="Times New Roman" w:cs="Times New Roman"/>
                <w:b/>
                <w:bCs/>
                <w:color w:val="FFFFFF" w:themeColor="background1"/>
                <w:sz w:val="32"/>
                <w:szCs w:val="32"/>
                <w:vertAlign w:val="baseline"/>
                <w:lang w:val="en-US" w:eastAsia="zh-CN"/>
                <w14:textFill>
                  <w14:solidFill>
                    <w14:schemeClr w14:val="bg1"/>
                  </w14:solidFill>
                </w14:textFill>
              </w:rPr>
              <w:t>Current Version(Effective on July 6, 2026)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tcPr>
          <w:p>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ascii="Times New Roman" w:hAnsi="Times New Roman" w:cs="Times New Roman"/>
                <w:b w:val="0"/>
                <w:bCs w:val="0"/>
                <w:sz w:val="28"/>
                <w:szCs w:val="28"/>
                <w:vertAlign w:val="baseline"/>
              </w:rPr>
            </w:pPr>
            <w:r>
              <w:rPr>
                <w:rFonts w:hint="default" w:ascii="Times New Roman" w:hAnsi="Times New Roman" w:cs="Times New Roman"/>
                <w:b/>
                <w:bCs/>
                <w:sz w:val="28"/>
                <w:szCs w:val="28"/>
                <w:vertAlign w:val="baseline"/>
              </w:rPr>
              <w:t xml:space="preserve">Article </w:t>
            </w:r>
            <w:r>
              <w:rPr>
                <w:rFonts w:hint="eastAsia" w:ascii="Times New Roman" w:hAnsi="Times New Roman" w:cs="Times New Roman"/>
                <w:b/>
                <w:bCs/>
                <w:sz w:val="28"/>
                <w:szCs w:val="28"/>
                <w:vertAlign w:val="baseline"/>
                <w:lang w:val="en-US" w:eastAsia="zh-CN"/>
              </w:rPr>
              <w:t>28</w:t>
            </w:r>
            <w:r>
              <w:rPr>
                <w:rFonts w:hint="default" w:ascii="Times New Roman" w:hAnsi="Times New Roman" w:cs="Times New Roman"/>
                <w:b/>
                <w:bCs/>
                <w:sz w:val="28"/>
                <w:szCs w:val="28"/>
                <w:vertAlign w:val="baseline"/>
              </w:rPr>
              <w:t xml:space="preserve"> </w:t>
            </w:r>
            <w:r>
              <w:rPr>
                <w:rFonts w:hint="default" w:ascii="Times New Roman" w:hAnsi="Times New Roman" w:cs="Times New Roman"/>
                <w:b w:val="0"/>
                <w:bCs w:val="0"/>
                <w:sz w:val="28"/>
                <w:szCs w:val="28"/>
                <w:vertAlign w:val="baseline"/>
              </w:rPr>
              <w:t xml:space="preserve">If </w:t>
            </w:r>
            <w:r>
              <w:rPr>
                <w:rFonts w:hint="default" w:ascii="Times New Roman" w:hAnsi="Times New Roman" w:cs="Times New Roman" w:eastAsiaTheme="minorEastAsia"/>
                <w:b w:val="0"/>
                <w:bCs w:val="0"/>
                <w:strike w:val="0"/>
                <w:dstrike/>
                <w:sz w:val="28"/>
                <w:szCs w:val="28"/>
                <w:vertAlign w:val="baseline"/>
              </w:rPr>
              <w:t>more than</w:t>
            </w:r>
            <w:r>
              <w:rPr>
                <w:rFonts w:hint="default" w:ascii="Times New Roman" w:hAnsi="Times New Roman" w:cs="Times New Roman"/>
                <w:b w:val="0"/>
                <w:bCs w:val="0"/>
                <w:sz w:val="28"/>
                <w:szCs w:val="28"/>
                <w:vertAlign w:val="baseline"/>
              </w:rPr>
              <w:t xml:space="preserve"> </w:t>
            </w:r>
            <w:r>
              <w:rPr>
                <w:rFonts w:hint="default" w:ascii="Times New Roman" w:hAnsi="Times New Roman" w:cs="Times New Roman"/>
                <w:b/>
                <w:bCs/>
                <w:color w:val="FF0000"/>
                <w:sz w:val="28"/>
                <w:szCs w:val="28"/>
                <w:vertAlign w:val="baseline"/>
              </w:rPr>
              <w:t>ten percent</w:t>
            </w:r>
            <w:r>
              <w:rPr>
                <w:rFonts w:hint="eastAsia" w:ascii="Times New Roman" w:hAnsi="Times New Roman" w:cs="Times New Roman"/>
                <w:b/>
                <w:bCs/>
                <w:color w:val="FF0000"/>
                <w:sz w:val="28"/>
                <w:szCs w:val="28"/>
                <w:vertAlign w:val="baseline"/>
                <w:lang w:val="en-US" w:eastAsia="zh-CN"/>
              </w:rPr>
              <w:t xml:space="preserve"> (</w:t>
            </w:r>
            <w:r>
              <w:rPr>
                <w:rFonts w:hint="default" w:ascii="Times New Roman" w:hAnsi="Times New Roman" w:cs="Times New Roman"/>
                <w:b w:val="0"/>
                <w:bCs w:val="0"/>
                <w:sz w:val="28"/>
                <w:szCs w:val="28"/>
                <w:vertAlign w:val="baseline"/>
              </w:rPr>
              <w:t>10%</w:t>
            </w:r>
            <w:r>
              <w:rPr>
                <w:rFonts w:hint="eastAsia" w:ascii="Times New Roman" w:hAnsi="Times New Roman" w:cs="Times New Roman"/>
                <w:b/>
                <w:bCs/>
                <w:color w:val="FF0000"/>
                <w:sz w:val="28"/>
                <w:szCs w:val="28"/>
                <w:vertAlign w:val="baseline"/>
                <w:lang w:val="en-US" w:eastAsia="zh-CN"/>
              </w:rPr>
              <w:t>)</w:t>
            </w:r>
            <w:r>
              <w:rPr>
                <w:rFonts w:hint="default" w:ascii="Times New Roman" w:hAnsi="Times New Roman" w:cs="Times New Roman"/>
                <w:b w:val="0"/>
                <w:bCs w:val="0"/>
                <w:sz w:val="28"/>
                <w:szCs w:val="28"/>
                <w:vertAlign w:val="baseline"/>
              </w:rPr>
              <w:t xml:space="preserve"> </w:t>
            </w:r>
            <w:r>
              <w:rPr>
                <w:rFonts w:hint="eastAsia" w:ascii="Times New Roman" w:hAnsi="Times New Roman" w:cs="Times New Roman"/>
                <w:b/>
                <w:bCs/>
                <w:color w:val="FF0000"/>
                <w:sz w:val="28"/>
                <w:szCs w:val="28"/>
                <w:vertAlign w:val="baseline"/>
                <w:lang w:val="en-US" w:eastAsia="zh-CN"/>
              </w:rPr>
              <w:t>or more</w:t>
            </w:r>
            <w:r>
              <w:rPr>
                <w:rFonts w:hint="eastAsia" w:ascii="Times New Roman" w:hAnsi="Times New Roman" w:cs="Times New Roman"/>
                <w:b w:val="0"/>
                <w:bCs w:val="0"/>
                <w:color w:val="FF0000"/>
                <w:sz w:val="28"/>
                <w:szCs w:val="28"/>
                <w:vertAlign w:val="baseline"/>
                <w:lang w:val="en-US" w:eastAsia="zh-CN"/>
              </w:rPr>
              <w:t xml:space="preserve"> </w:t>
            </w:r>
            <w:r>
              <w:rPr>
                <w:rFonts w:hint="default" w:ascii="Times New Roman" w:hAnsi="Times New Roman" w:cs="Times New Roman"/>
                <w:b/>
                <w:bCs/>
                <w:color w:val="FF0000"/>
                <w:sz w:val="28"/>
                <w:szCs w:val="28"/>
                <w:vertAlign w:val="baseline"/>
              </w:rPr>
              <w:t>of the Members</w:t>
            </w:r>
            <w:r>
              <w:rPr>
                <w:rFonts w:hint="default" w:ascii="Times New Roman" w:hAnsi="Times New Roman" w:cs="Times New Roman"/>
                <w:b/>
                <w:bCs/>
                <w:color w:val="FF0000"/>
                <w:sz w:val="28"/>
                <w:szCs w:val="28"/>
                <w:highlight w:val="none"/>
                <w:vertAlign w:val="baseline"/>
              </w:rPr>
              <w:t xml:space="preserve"> </w:t>
            </w:r>
            <w:r>
              <w:rPr>
                <w:rFonts w:hint="eastAsia" w:ascii="Times New Roman" w:hAnsi="Times New Roman" w:cs="Times New Roman"/>
                <w:b/>
                <w:bCs/>
                <w:color w:val="FF0000"/>
                <w:sz w:val="28"/>
                <w:szCs w:val="28"/>
                <w:highlight w:val="none"/>
                <w:vertAlign w:val="baseline"/>
                <w:lang w:val="en-US" w:eastAsia="zh-CN"/>
              </w:rPr>
              <w:t>and</w:t>
            </w:r>
            <w:r>
              <w:rPr>
                <w:rFonts w:hint="default" w:ascii="Times New Roman" w:hAnsi="Times New Roman" w:cs="Times New Roman"/>
                <w:b/>
                <w:bCs/>
                <w:color w:val="FF0000"/>
                <w:sz w:val="28"/>
                <w:szCs w:val="28"/>
                <w:highlight w:val="none"/>
                <w:vertAlign w:val="baseline"/>
              </w:rPr>
              <w:t xml:space="preserve"> </w:t>
            </w:r>
            <w:r>
              <w:rPr>
                <w:rFonts w:hint="default" w:ascii="Times New Roman" w:hAnsi="Times New Roman" w:cs="Times New Roman"/>
                <w:b/>
                <w:bCs/>
                <w:color w:val="FF0000"/>
                <w:sz w:val="28"/>
                <w:szCs w:val="28"/>
                <w:vertAlign w:val="baseline"/>
              </w:rPr>
              <w:t>OSPs are unable to trade due to a breakdown of trading facilities such as computer or telecommunication systems</w:t>
            </w:r>
            <w:r>
              <w:rPr>
                <w:rFonts w:hint="eastAsia" w:ascii="Times New Roman" w:hAnsi="Times New Roman" w:cs="Times New Roman"/>
                <w:b/>
                <w:bCs/>
                <w:color w:val="FF0000"/>
                <w:sz w:val="28"/>
                <w:szCs w:val="28"/>
                <w:vertAlign w:val="baseline"/>
                <w:lang w:val="en-US" w:eastAsia="zh-CN"/>
              </w:rPr>
              <w:t xml:space="preserve">, or </w:t>
            </w:r>
            <w:r>
              <w:rPr>
                <w:rFonts w:hint="default" w:ascii="Times New Roman" w:hAnsi="Times New Roman" w:cs="Times New Roman"/>
                <w:b/>
                <w:bCs/>
                <w:color w:val="FF0000"/>
                <w:sz w:val="28"/>
                <w:szCs w:val="28"/>
                <w:vertAlign w:val="baseline"/>
              </w:rPr>
              <w:t>the Exchange otherwise deems it is necessary to do so</w:t>
            </w:r>
            <w:r>
              <w:rPr>
                <w:rFonts w:hint="eastAsia" w:ascii="Times New Roman" w:hAnsi="Times New Roman" w:cs="Times New Roman"/>
                <w:b/>
                <w:bCs/>
                <w:color w:val="FF0000"/>
                <w:sz w:val="28"/>
                <w:szCs w:val="28"/>
                <w:vertAlign w:val="baseline"/>
                <w:lang w:val="en-US" w:eastAsia="zh-CN"/>
              </w:rPr>
              <w:t xml:space="preserve">, </w:t>
            </w:r>
            <w:r>
              <w:rPr>
                <w:rFonts w:hint="default" w:ascii="Times New Roman" w:hAnsi="Times New Roman" w:cs="Times New Roman" w:eastAsiaTheme="minorEastAsia"/>
                <w:b w:val="0"/>
                <w:bCs w:val="0"/>
                <w:strike w:val="0"/>
                <w:dstrike/>
                <w:sz w:val="28"/>
                <w:szCs w:val="28"/>
                <w:vertAlign w:val="baseline"/>
              </w:rPr>
              <w:t>of trading seats with valid connections cannot book deals due to the malfunction of trading systems and communication systems, etc.</w:t>
            </w:r>
            <w:r>
              <w:rPr>
                <w:rFonts w:hint="default" w:ascii="Times New Roman" w:hAnsi="Times New Roman" w:cs="Times New Roman"/>
                <w:b w:val="0"/>
                <w:bCs w:val="0"/>
                <w:sz w:val="28"/>
                <w:szCs w:val="28"/>
                <w:vertAlign w:val="baseline"/>
              </w:rPr>
              <w:t xml:space="preserve">, the Exchange </w:t>
            </w:r>
            <w:r>
              <w:rPr>
                <w:rFonts w:hint="default" w:ascii="Times New Roman" w:hAnsi="Times New Roman" w:cs="Times New Roman"/>
                <w:b/>
                <w:bCs/>
                <w:color w:val="FF0000"/>
                <w:sz w:val="28"/>
                <w:szCs w:val="28"/>
                <w:vertAlign w:val="baseline"/>
              </w:rPr>
              <w:t>may adjust the market open</w:t>
            </w:r>
            <w:r>
              <w:rPr>
                <w:rFonts w:hint="eastAsia" w:ascii="Times New Roman" w:hAnsi="Times New Roman" w:cs="Times New Roman"/>
                <w:b/>
                <w:bCs/>
                <w:color w:val="FF0000"/>
                <w:sz w:val="28"/>
                <w:szCs w:val="28"/>
                <w:vertAlign w:val="baseline"/>
                <w:lang w:val="en-US" w:eastAsia="zh-CN"/>
              </w:rPr>
              <w:t>ing</w:t>
            </w:r>
            <w:r>
              <w:rPr>
                <w:rFonts w:hint="default" w:ascii="Times New Roman" w:hAnsi="Times New Roman" w:cs="Times New Roman"/>
                <w:b/>
                <w:bCs/>
                <w:color w:val="FF0000"/>
                <w:sz w:val="28"/>
                <w:szCs w:val="28"/>
                <w:vertAlign w:val="baseline"/>
              </w:rPr>
              <w:t xml:space="preserve"> or clos</w:t>
            </w:r>
            <w:r>
              <w:rPr>
                <w:rFonts w:hint="eastAsia" w:ascii="Times New Roman" w:hAnsi="Times New Roman" w:cs="Times New Roman"/>
                <w:b/>
                <w:bCs/>
                <w:color w:val="FF0000"/>
                <w:sz w:val="28"/>
                <w:szCs w:val="28"/>
                <w:vertAlign w:val="baseline"/>
                <w:lang w:val="en-US" w:eastAsia="zh-CN"/>
              </w:rPr>
              <w:t>ing</w:t>
            </w:r>
            <w:r>
              <w:rPr>
                <w:rFonts w:hint="default" w:ascii="Times New Roman" w:hAnsi="Times New Roman" w:cs="Times New Roman"/>
                <w:b/>
                <w:bCs/>
                <w:color w:val="FF0000"/>
                <w:sz w:val="28"/>
                <w:szCs w:val="28"/>
                <w:vertAlign w:val="baseline"/>
              </w:rPr>
              <w:t xml:space="preserve"> time, suspend trading, adjust the last trading day, expiration date,</w:t>
            </w:r>
            <w:r>
              <w:rPr>
                <w:rFonts w:hint="eastAsia" w:ascii="Times New Roman" w:hAnsi="Times New Roman" w:cs="Times New Roman"/>
                <w:b/>
                <w:bCs/>
                <w:color w:val="FF0000"/>
                <w:sz w:val="28"/>
                <w:szCs w:val="28"/>
                <w:vertAlign w:val="baseline"/>
                <w:lang w:val="en-US" w:eastAsia="zh-CN"/>
              </w:rPr>
              <w:t xml:space="preserve"> last delivery day </w:t>
            </w:r>
            <w:r>
              <w:rPr>
                <w:rFonts w:hint="default" w:ascii="Times New Roman" w:hAnsi="Times New Roman" w:cs="Times New Roman"/>
                <w:b/>
                <w:bCs/>
                <w:color w:val="FF0000"/>
                <w:sz w:val="28"/>
                <w:szCs w:val="28"/>
                <w:vertAlign w:val="baseline"/>
              </w:rPr>
              <w:t>and other relevant dates of the relevant contracts, and take other necessary measures</w:t>
            </w:r>
            <w:r>
              <w:rPr>
                <w:rFonts w:hint="eastAsia" w:ascii="Times New Roman" w:hAnsi="Times New Roman" w:cs="Times New Roman"/>
                <w:b/>
                <w:bCs/>
                <w:color w:val="FF0000"/>
                <w:sz w:val="28"/>
                <w:szCs w:val="28"/>
                <w:vertAlign w:val="baseline"/>
                <w:lang w:val="en-US" w:eastAsia="zh-CN"/>
              </w:rPr>
              <w:t xml:space="preserve"> </w:t>
            </w:r>
            <w:r>
              <w:rPr>
                <w:rFonts w:hint="default" w:ascii="Times New Roman" w:hAnsi="Times New Roman" w:cs="Times New Roman" w:eastAsiaTheme="minorEastAsia"/>
                <w:b w:val="0"/>
                <w:bCs w:val="0"/>
                <w:strike w:val="0"/>
                <w:dstrike/>
                <w:sz w:val="28"/>
                <w:szCs w:val="28"/>
                <w:vertAlign w:val="baseline"/>
              </w:rPr>
              <w:t>shall suspend the trading until the malfunction is rectified</w:t>
            </w:r>
            <w:r>
              <w:rPr>
                <w:rFonts w:hint="default" w:ascii="Times New Roman" w:hAnsi="Times New Roman" w:cs="Times New Roman"/>
                <w:b w:val="0"/>
                <w:bCs w:val="0"/>
                <w:sz w:val="28"/>
                <w:szCs w:val="28"/>
                <w:vertAlign w:val="baseline"/>
              </w:rPr>
              <w:t>.</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cs="Times New Roman" w:eastAsiaTheme="minorEastAsia"/>
                <w:sz w:val="28"/>
                <w:szCs w:val="28"/>
                <w:vertAlign w:val="baseline"/>
                <w:lang w:val="en-US" w:eastAsia="zh-CN"/>
              </w:rPr>
            </w:pPr>
            <w:r>
              <w:rPr>
                <w:rFonts w:hint="default" w:ascii="Times New Roman" w:hAnsi="Times New Roman" w:cs="Times New Roman" w:eastAsiaTheme="minorEastAsia"/>
                <w:b w:val="0"/>
                <w:bCs w:val="0"/>
                <w:strike w:val="0"/>
                <w:dstrike/>
                <w:sz w:val="28"/>
                <w:szCs w:val="28"/>
                <w:vertAlign w:val="baseline"/>
              </w:rPr>
              <w:t>The number of trading seats that cannot book deals shall be calculated by using the maximum number of trading seats with valid connections within the half hour after the market opening of the previous trading day minus the number of current connected trading seats. The number of trading seats with valid connections refers to the maximum number of trading seats with valid connections within the half hour after the market opening of the previous trading day.</w:t>
            </w:r>
          </w:p>
        </w:tc>
        <w:tc>
          <w:tcPr>
            <w:tcW w:w="7087" w:type="dxa"/>
          </w:tcPr>
          <w:p>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ascii="Times New Roman" w:hAnsi="Times New Roman" w:cs="Times New Roman"/>
                <w:b w:val="0"/>
                <w:bCs w:val="0"/>
                <w:sz w:val="28"/>
                <w:szCs w:val="28"/>
                <w:vertAlign w:val="baseline"/>
              </w:rPr>
            </w:pPr>
            <w:r>
              <w:rPr>
                <w:rFonts w:hint="default" w:ascii="Times New Roman" w:hAnsi="Times New Roman" w:cs="Times New Roman"/>
                <w:b/>
                <w:bCs/>
                <w:sz w:val="28"/>
                <w:szCs w:val="28"/>
                <w:vertAlign w:val="baseline"/>
              </w:rPr>
              <w:t xml:space="preserve">Article </w:t>
            </w:r>
            <w:r>
              <w:rPr>
                <w:rFonts w:hint="eastAsia" w:ascii="Times New Roman" w:hAnsi="Times New Roman" w:cs="Times New Roman"/>
                <w:b/>
                <w:bCs/>
                <w:sz w:val="28"/>
                <w:szCs w:val="28"/>
                <w:vertAlign w:val="baseline"/>
                <w:lang w:val="en-US" w:eastAsia="zh-CN"/>
              </w:rPr>
              <w:t>28</w:t>
            </w:r>
            <w:r>
              <w:rPr>
                <w:rFonts w:hint="default" w:ascii="Times New Roman" w:hAnsi="Times New Roman" w:cs="Times New Roman"/>
                <w:b/>
                <w:bCs/>
                <w:sz w:val="28"/>
                <w:szCs w:val="28"/>
                <w:vertAlign w:val="baseline"/>
              </w:rPr>
              <w:t xml:space="preserve"> </w:t>
            </w:r>
            <w:r>
              <w:rPr>
                <w:rFonts w:hint="default" w:ascii="Times New Roman" w:hAnsi="Times New Roman" w:cs="Times New Roman"/>
                <w:b w:val="0"/>
                <w:bCs w:val="0"/>
                <w:sz w:val="28"/>
                <w:szCs w:val="28"/>
                <w:vertAlign w:val="baseline"/>
              </w:rPr>
              <w:t>If more than 10% of trading seats with valid connections cannot book deals due to the malfunction of trading systems and communication systems, etc., the Exchange shall suspend the trading until the malfunction is rectified.</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default" w:ascii="Times New Roman" w:hAnsi="Times New Roman" w:cs="Times New Roman"/>
                <w:sz w:val="28"/>
                <w:szCs w:val="28"/>
                <w:vertAlign w:val="baseline"/>
              </w:rPr>
            </w:pPr>
            <w:r>
              <w:rPr>
                <w:rFonts w:hint="default" w:ascii="Times New Roman" w:hAnsi="Times New Roman" w:cs="Times New Roman"/>
                <w:b w:val="0"/>
                <w:bCs w:val="0"/>
                <w:sz w:val="28"/>
                <w:szCs w:val="28"/>
                <w:vertAlign w:val="baseline"/>
              </w:rPr>
              <w:t>The number of trading seats that cannot book deals shall be calculated</w:t>
            </w:r>
            <w:bookmarkStart w:id="0" w:name="_GoBack"/>
            <w:bookmarkEnd w:id="0"/>
            <w:r>
              <w:rPr>
                <w:rFonts w:hint="default" w:ascii="Times New Roman" w:hAnsi="Times New Roman" w:cs="Times New Roman"/>
                <w:b w:val="0"/>
                <w:bCs w:val="0"/>
                <w:sz w:val="28"/>
                <w:szCs w:val="28"/>
                <w:vertAlign w:val="baseline"/>
              </w:rPr>
              <w:t xml:space="preserve"> by using the maximum number of trading seats with valid connections within the half hour after the market opening of the previous trading day minus the number of current connected trading seats. The number of trading seats with valid connections refers to the maximum number of trading seats with valid connections within the half hour after the market opening of the previous trading day.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tcPr>
          <w:p>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ascii="Times New Roman" w:hAnsi="Times New Roman" w:cs="Times New Roman"/>
                <w:b w:val="0"/>
                <w:bCs w:val="0"/>
                <w:sz w:val="28"/>
                <w:szCs w:val="28"/>
                <w:vertAlign w:val="baseline"/>
              </w:rPr>
            </w:pPr>
            <w:r>
              <w:rPr>
                <w:rFonts w:hint="default" w:ascii="Times New Roman" w:hAnsi="Times New Roman" w:cs="Times New Roman" w:eastAsiaTheme="minorEastAsia"/>
                <w:b/>
                <w:bCs/>
                <w:strike w:val="0"/>
                <w:dstrike/>
                <w:sz w:val="28"/>
                <w:szCs w:val="28"/>
                <w:vertAlign w:val="baseline"/>
              </w:rPr>
              <w:t xml:space="preserve">Article 29 </w:t>
            </w:r>
            <w:r>
              <w:rPr>
                <w:rFonts w:hint="default" w:ascii="Times New Roman" w:hAnsi="Times New Roman" w:cs="Times New Roman" w:eastAsiaTheme="minorEastAsia"/>
                <w:b w:val="0"/>
                <w:bCs w:val="0"/>
                <w:strike w:val="0"/>
                <w:dstrike/>
                <w:sz w:val="28"/>
                <w:szCs w:val="28"/>
                <w:vertAlign w:val="baseline"/>
              </w:rPr>
              <w:t>The Exchange may adjust the time of opening and closing for the continuous trading session, or suspend it if, before the opening of the continuous trading session, abnormal circumstances are reported through the member service system, more than 30% of Members and OSPs registered to participate in continuous trading fail to complete clearing or the initialization of the trading system, or in other situations as deemed necessary by the Exchange.</w:t>
            </w:r>
          </w:p>
        </w:tc>
        <w:tc>
          <w:tcPr>
            <w:tcW w:w="7087" w:type="dxa"/>
          </w:tcPr>
          <w:p>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ascii="Times New Roman" w:hAnsi="Times New Roman" w:cs="Times New Roman"/>
                <w:b w:val="0"/>
                <w:bCs w:val="0"/>
                <w:sz w:val="28"/>
                <w:szCs w:val="28"/>
                <w:vertAlign w:val="baseline"/>
              </w:rPr>
            </w:pPr>
            <w:r>
              <w:rPr>
                <w:rFonts w:hint="default" w:ascii="Times New Roman" w:hAnsi="Times New Roman" w:cs="Times New Roman"/>
                <w:b/>
                <w:bCs/>
                <w:sz w:val="28"/>
                <w:szCs w:val="28"/>
                <w:vertAlign w:val="baseline"/>
              </w:rPr>
              <w:t xml:space="preserve">Article 29 </w:t>
            </w:r>
            <w:r>
              <w:rPr>
                <w:rFonts w:hint="default" w:ascii="Times New Roman" w:hAnsi="Times New Roman" w:cs="Times New Roman"/>
                <w:b w:val="0"/>
                <w:bCs w:val="0"/>
                <w:sz w:val="28"/>
                <w:szCs w:val="28"/>
                <w:vertAlign w:val="baseline"/>
              </w:rPr>
              <w:t>The Exchange may adjust the time of opening and closing for the continuous trading session, or suspend it if, before the opening of the continuous trading session, abnormal circumstances are reported through the member service system, more than 30% of Members and OSPs registered to participate in continuous trading fail to complete clearing or the initialization of the trading system, or in other situations as deemed necessary by the Exchange.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tcPr>
          <w:p>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ascii="Times New Roman" w:hAnsi="Times New Roman" w:cs="Times New Roman"/>
                <w:sz w:val="28"/>
                <w:szCs w:val="28"/>
                <w:vertAlign w:val="baseline"/>
              </w:rPr>
            </w:pPr>
            <w:r>
              <w:rPr>
                <w:rFonts w:hint="default" w:ascii="Times New Roman" w:hAnsi="Times New Roman" w:cs="Times New Roman"/>
                <w:b/>
                <w:bCs/>
                <w:sz w:val="28"/>
                <w:szCs w:val="28"/>
                <w:vertAlign w:val="baseline"/>
              </w:rPr>
              <w:t xml:space="preserve">Article </w:t>
            </w:r>
            <w:r>
              <w:rPr>
                <w:rFonts w:hint="eastAsia" w:ascii="Times New Roman" w:hAnsi="Times New Roman" w:cs="Times New Roman"/>
                <w:b/>
                <w:bCs/>
                <w:color w:val="FF0000"/>
                <w:sz w:val="28"/>
                <w:szCs w:val="28"/>
                <w:vertAlign w:val="baseline"/>
                <w:lang w:val="en-US" w:eastAsia="zh-CN"/>
              </w:rPr>
              <w:t>84</w:t>
            </w:r>
            <w:r>
              <w:rPr>
                <w:rFonts w:hint="default" w:ascii="Times New Roman" w:hAnsi="Times New Roman" w:cs="Times New Roman" w:eastAsiaTheme="minorEastAsia"/>
                <w:b/>
                <w:bCs/>
                <w:strike w:val="0"/>
                <w:dstrike/>
                <w:sz w:val="28"/>
                <w:szCs w:val="28"/>
                <w:vertAlign w:val="baseline"/>
              </w:rPr>
              <w:t>85</w:t>
            </w:r>
            <w:r>
              <w:rPr>
                <w:rFonts w:hint="default" w:ascii="Times New Roman" w:hAnsi="Times New Roman" w:cs="Times New Roman"/>
                <w:b/>
                <w:bCs/>
                <w:sz w:val="28"/>
                <w:szCs w:val="28"/>
                <w:vertAlign w:val="baseline"/>
              </w:rPr>
              <w:t xml:space="preserve">  </w:t>
            </w:r>
            <w:r>
              <w:rPr>
                <w:rFonts w:hint="default" w:ascii="Times New Roman" w:hAnsi="Times New Roman" w:cs="Times New Roman"/>
                <w:b w:val="0"/>
                <w:bCs w:val="0"/>
                <w:sz w:val="28"/>
                <w:szCs w:val="28"/>
                <w:vertAlign w:val="baseline"/>
              </w:rPr>
              <w:t>These Trading Rules take effect on</w:t>
            </w:r>
            <w:r>
              <w:rPr>
                <w:rFonts w:hint="default" w:ascii="Times New Roman" w:hAnsi="Times New Roman" w:cs="Times New Roman"/>
                <w:b/>
                <w:bCs/>
                <w:color w:val="FF0000"/>
                <w:sz w:val="28"/>
                <w:szCs w:val="28"/>
                <w:vertAlign w:val="baseline"/>
              </w:rPr>
              <w:t xml:space="preserve"> </w:t>
            </w:r>
            <w:r>
              <w:rPr>
                <w:rFonts w:hint="eastAsia" w:ascii="Times New Roman" w:hAnsi="Times New Roman" w:cs="Times New Roman"/>
                <w:b/>
                <w:bCs/>
                <w:color w:val="FF0000"/>
                <w:sz w:val="28"/>
                <w:szCs w:val="28"/>
                <w:vertAlign w:val="baseline"/>
                <w:lang w:val="en-US" w:eastAsia="zh-CN"/>
              </w:rPr>
              <w:t>September 14</w:t>
            </w:r>
            <w:r>
              <w:rPr>
                <w:rFonts w:hint="eastAsia" w:ascii="Times New Roman" w:hAnsi="Times New Roman" w:cs="Times New Roman" w:eastAsiaTheme="minorEastAsia"/>
                <w:b w:val="0"/>
                <w:bCs w:val="0"/>
                <w:strike w:val="0"/>
                <w:dstrike/>
                <w:sz w:val="28"/>
                <w:szCs w:val="28"/>
                <w:vertAlign w:val="baseline"/>
                <w:lang w:val="en-US" w:eastAsia="zh-CN"/>
              </w:rPr>
              <w:t xml:space="preserve"> </w:t>
            </w:r>
            <w:r>
              <w:rPr>
                <w:rFonts w:hint="default" w:ascii="Times New Roman" w:hAnsi="Times New Roman" w:cs="Times New Roman" w:eastAsiaTheme="minorEastAsia"/>
                <w:b w:val="0"/>
                <w:bCs w:val="0"/>
                <w:strike w:val="0"/>
                <w:dstrike/>
                <w:sz w:val="28"/>
                <w:szCs w:val="28"/>
                <w:vertAlign w:val="baseline"/>
              </w:rPr>
              <w:t>July 6</w:t>
            </w:r>
            <w:r>
              <w:rPr>
                <w:rFonts w:hint="default" w:ascii="Times New Roman" w:hAnsi="Times New Roman" w:cs="Times New Roman" w:eastAsiaTheme="minorEastAsia"/>
                <w:b w:val="0"/>
                <w:bCs w:val="0"/>
                <w:strike w:val="0"/>
                <w:dstrike w:val="0"/>
                <w:sz w:val="28"/>
                <w:szCs w:val="28"/>
                <w:vertAlign w:val="baseline"/>
              </w:rPr>
              <w:t>, 2026</w:t>
            </w:r>
            <w:r>
              <w:rPr>
                <w:rFonts w:hint="default" w:ascii="Times New Roman" w:hAnsi="Times New Roman" w:cs="Times New Roman"/>
                <w:b w:val="0"/>
                <w:bCs w:val="0"/>
                <w:sz w:val="28"/>
                <w:szCs w:val="28"/>
                <w:vertAlign w:val="baseline"/>
              </w:rPr>
              <w:t xml:space="preserve">. </w:t>
            </w:r>
          </w:p>
        </w:tc>
        <w:tc>
          <w:tcPr>
            <w:tcW w:w="7087" w:type="dxa"/>
          </w:tcPr>
          <w:p>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ascii="Times New Roman" w:hAnsi="Times New Roman" w:cs="Times New Roman"/>
                <w:sz w:val="28"/>
                <w:szCs w:val="28"/>
                <w:vertAlign w:val="baseline"/>
              </w:rPr>
            </w:pPr>
            <w:r>
              <w:rPr>
                <w:rFonts w:hint="default" w:ascii="Times New Roman" w:hAnsi="Times New Roman" w:cs="Times New Roman"/>
                <w:b/>
                <w:bCs/>
                <w:sz w:val="28"/>
                <w:szCs w:val="28"/>
                <w:vertAlign w:val="baseline"/>
              </w:rPr>
              <w:t>Article 85</w:t>
            </w:r>
            <w:r>
              <w:rPr>
                <w:rFonts w:hint="eastAsia" w:ascii="Times New Roman" w:hAnsi="Times New Roman" w:cs="Times New Roman"/>
                <w:b/>
                <w:bCs/>
                <w:sz w:val="28"/>
                <w:szCs w:val="28"/>
                <w:vertAlign w:val="baseline"/>
                <w:lang w:val="en-US" w:eastAsia="zh-CN"/>
              </w:rPr>
              <w:t xml:space="preserve"> </w:t>
            </w:r>
            <w:r>
              <w:rPr>
                <w:rFonts w:hint="default" w:ascii="Times New Roman" w:hAnsi="Times New Roman" w:cs="Times New Roman"/>
                <w:b/>
                <w:bCs/>
                <w:sz w:val="28"/>
                <w:szCs w:val="28"/>
                <w:vertAlign w:val="baseline"/>
              </w:rPr>
              <w:t xml:space="preserve"> </w:t>
            </w:r>
            <w:r>
              <w:rPr>
                <w:rFonts w:hint="default" w:ascii="Times New Roman" w:hAnsi="Times New Roman" w:cs="Times New Roman"/>
                <w:b w:val="0"/>
                <w:bCs w:val="0"/>
                <w:sz w:val="28"/>
                <w:szCs w:val="28"/>
                <w:vertAlign w:val="baseline"/>
              </w:rPr>
              <w:t xml:space="preserve">These Trading Rules take effect on July 6, 2026. </w:t>
            </w:r>
          </w:p>
        </w:tc>
      </w:tr>
    </w:tbl>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大标宋简体">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FB0442"/>
    <w:rsid w:val="7FFB0782"/>
    <w:rsid w:val="EFFB04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2026-08-17T22:30:00Z</dcterms:created>
  <dc:creator>ji.shuoren</dc:creator>
  <cp:lastModifiedBy>ji.shuoren</cp:lastModifiedBy>
  <cp:lastPrinted>2026-09-04T15:04:31Z</cp:lastPrinted>
  <dcterms:modified xsi:type="dcterms:W3CDTF">2026-09-04T15:19:27Z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C19D7C95595009FE9CAA826AF7228F64</vt:lpwstr>
  </property>
</Properties>
</file>