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p>
    <w:p>
      <w:pPr>
        <w:pStyle w:val="6"/>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jc w:val="center"/>
        <w:textAlignment w:val="auto"/>
        <w:rPr>
          <w:rFonts w:hint="default" w:ascii="Times New Roman" w:hAnsi="Times New Roman" w:eastAsia="宋体" w:cs="Times New Roman"/>
          <w:b/>
          <w:bCs/>
          <w:kern w:val="2"/>
          <w:sz w:val="36"/>
          <w:szCs w:val="36"/>
        </w:rPr>
      </w:pPr>
      <w:r>
        <w:rPr>
          <w:rFonts w:hint="default" w:ascii="Times New Roman" w:hAnsi="Times New Roman" w:eastAsia="宋体" w:cs="Times New Roman"/>
          <w:b/>
          <w:bCs/>
          <w:kern w:val="2"/>
          <w:sz w:val="36"/>
          <w:szCs w:val="36"/>
        </w:rPr>
        <w:t xml:space="preserve">Trading Rules of </w:t>
      </w:r>
      <w:r>
        <w:rPr>
          <w:rFonts w:hint="eastAsia" w:ascii="Times New Roman" w:hAnsi="Times New Roman" w:eastAsia="宋体" w:cs="Times New Roman"/>
          <w:b/>
          <w:bCs/>
          <w:kern w:val="2"/>
          <w:sz w:val="36"/>
          <w:szCs w:val="36"/>
          <w:lang w:val="en-US" w:eastAsia="zh-CN"/>
        </w:rPr>
        <w:t xml:space="preserve">the </w:t>
      </w:r>
      <w:r>
        <w:rPr>
          <w:rFonts w:hint="default" w:ascii="Times New Roman" w:hAnsi="Times New Roman" w:eastAsia="宋体" w:cs="Times New Roman"/>
          <w:b/>
          <w:bCs/>
          <w:kern w:val="2"/>
          <w:sz w:val="36"/>
          <w:szCs w:val="36"/>
        </w:rPr>
        <w:t>Shanghai International Energy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center"/>
        <w:textAlignment w:val="auto"/>
        <w:rPr>
          <w:rFonts w:hint="default" w:ascii="Times New Roman" w:hAnsi="Times New Roman" w:eastAsia="宋体" w:cs="Times New Roman"/>
          <w:color w:val="auto"/>
          <w:kern w:val="2"/>
          <w:sz w:val="28"/>
          <w:szCs w:val="28"/>
          <w:lang w:val="en-US" w:eastAsia="zh-CN" w:bidi="ar"/>
        </w:rPr>
      </w:pP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center"/>
        <w:textAlignment w:val="auto"/>
        <w:rPr>
          <w:rFonts w:hint="default" w:ascii="Times New Roman" w:hAnsi="Times New Roman" w:eastAsia="宋体" w:cs="Times New Roman"/>
          <w:b/>
          <w:bCs/>
          <w:color w:val="000000"/>
          <w:kern w:val="2"/>
          <w:sz w:val="28"/>
          <w:szCs w:val="28"/>
        </w:rPr>
      </w:pPr>
      <w:bookmarkStart w:id="0" w:name="_GoBack"/>
      <w:bookmarkEnd w:id="0"/>
      <w:r>
        <w:rPr>
          <w:rFonts w:hint="default" w:ascii="Times New Roman" w:hAnsi="Times New Roman" w:eastAsia="宋体" w:cs="Times New Roman"/>
          <w:color w:val="auto"/>
          <w:kern w:val="2"/>
          <w:sz w:val="28"/>
          <w:szCs w:val="28"/>
          <w:lang w:val="en-US" w:eastAsia="zh-CN" w:bidi="ar"/>
        </w:rPr>
        <w:t>(Released and implemented on May 11, 2017; revised on August 2, 2019 for the first time; June 10, 2020 for the second time; November 11, 2020 for the third time; June 11, 2021 for the fourth time; November 26, 2021 for the fifth time; May 26, 2023 for the sixth time; August 11, 2023 for the seventh time; November 21, 2023 for the eighth time</w:t>
      </w:r>
      <w:r>
        <w:rPr>
          <w:rFonts w:hint="eastAsia" w:ascii="Times New Roman" w:hAnsi="Times New Roman" w:cs="Times New Roman"/>
          <w:color w:val="auto"/>
          <w:kern w:val="2"/>
          <w:sz w:val="28"/>
          <w:szCs w:val="28"/>
          <w:lang w:val="en-US" w:eastAsia="zh-CN" w:bidi="ar"/>
        </w:rPr>
        <w:t xml:space="preserve">; </w:t>
      </w:r>
      <w:r>
        <w:rPr>
          <w:rFonts w:hint="eastAsia" w:ascii="Times New Roman" w:hAnsi="Times New Roman" w:cs="Arial"/>
          <w:color w:val="auto"/>
          <w:kern w:val="0"/>
          <w:sz w:val="28"/>
          <w:szCs w:val="28"/>
          <w:lang w:val="en-US" w:eastAsia="zh-CN"/>
        </w:rPr>
        <w:t>January 1</w:t>
      </w:r>
      <w:r>
        <w:rPr>
          <w:rFonts w:hint="default" w:ascii="Times New Roman" w:hAnsi="Times New Roman" w:cs="Arial"/>
          <w:color w:val="auto"/>
          <w:kern w:val="0"/>
          <w:sz w:val="28"/>
          <w:szCs w:val="28"/>
        </w:rPr>
        <w:t>,</w:t>
      </w:r>
      <w:r>
        <w:rPr>
          <w:rFonts w:hint="eastAsia" w:ascii="Times New Roman" w:hAnsi="Times New Roman" w:cs="Arial"/>
          <w:color w:val="auto"/>
          <w:kern w:val="0"/>
          <w:sz w:val="28"/>
          <w:szCs w:val="28"/>
        </w:rPr>
        <w:t xml:space="preserve"> </w:t>
      </w:r>
      <w:r>
        <w:rPr>
          <w:rFonts w:hint="default" w:ascii="Times New Roman" w:hAnsi="Times New Roman" w:cs="Arial"/>
          <w:color w:val="auto"/>
          <w:kern w:val="0"/>
          <w:sz w:val="28"/>
          <w:szCs w:val="28"/>
        </w:rPr>
        <w:t>202</w:t>
      </w:r>
      <w:r>
        <w:rPr>
          <w:rFonts w:hint="eastAsia" w:ascii="Times New Roman" w:hAnsi="Times New Roman" w:cs="Arial"/>
          <w:color w:val="auto"/>
          <w:kern w:val="0"/>
          <w:sz w:val="28"/>
          <w:szCs w:val="28"/>
          <w:lang w:val="en-US" w:eastAsia="zh-CN"/>
        </w:rPr>
        <w:t>6</w:t>
      </w:r>
      <w:r>
        <w:rPr>
          <w:rFonts w:hint="default" w:ascii="Times New Roman" w:hAnsi="Times New Roman" w:eastAsia="宋体" w:cs="Times New Roman"/>
          <w:color w:val="FF0000"/>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for the ninth ti</w:t>
      </w:r>
      <w:r>
        <w:rPr>
          <w:rFonts w:hint="default" w:ascii="Times New Roman" w:hAnsi="Times New Roman" w:eastAsia="宋体" w:cs="Times New Roman"/>
          <w:b w:val="0"/>
          <w:bCs w:val="0"/>
          <w:color w:val="000000"/>
          <w:kern w:val="2"/>
          <w:sz w:val="28"/>
          <w:szCs w:val="28"/>
          <w:lang w:val="en-US" w:eastAsia="zh-CN" w:bidi="ar"/>
        </w:rPr>
        <w:t>me</w:t>
      </w:r>
      <w:r>
        <w:rPr>
          <w:rFonts w:hint="eastAsia" w:ascii="Times New Roman" w:hAnsi="Times New Roman" w:cs="Times New Roman"/>
          <w:b w:val="0"/>
          <w:bCs w:val="0"/>
          <w:color w:val="000000"/>
          <w:kern w:val="2"/>
          <w:sz w:val="28"/>
          <w:szCs w:val="28"/>
          <w:lang w:val="en-US" w:eastAsia="zh-CN" w:bidi="ar"/>
        </w:rPr>
        <w:t>; July 6, 2026 for the 10</w:t>
      </w:r>
      <w:r>
        <w:rPr>
          <w:rFonts w:hint="eastAsia" w:ascii="Times New Roman" w:hAnsi="Times New Roman" w:cs="Times New Roman"/>
          <w:b w:val="0"/>
          <w:bCs w:val="0"/>
          <w:color w:val="000000"/>
          <w:kern w:val="2"/>
          <w:sz w:val="28"/>
          <w:szCs w:val="28"/>
          <w:vertAlign w:val="superscript"/>
          <w:lang w:val="en-US" w:eastAsia="zh-CN" w:bidi="ar"/>
        </w:rPr>
        <w:t>th</w:t>
      </w:r>
      <w:r>
        <w:rPr>
          <w:rFonts w:hint="eastAsia" w:ascii="Times New Roman" w:hAnsi="Times New Roman" w:cs="Times New Roman"/>
          <w:b w:val="0"/>
          <w:bCs w:val="0"/>
          <w:color w:val="000000"/>
          <w:kern w:val="2"/>
          <w:sz w:val="28"/>
          <w:szCs w:val="28"/>
          <w:lang w:val="en-US" w:eastAsia="zh-CN" w:bidi="ar"/>
        </w:rPr>
        <w:t xml:space="preserve"> time; </w:t>
      </w:r>
      <w:r>
        <w:rPr>
          <w:rFonts w:hint="eastAsia" w:ascii="Times New Roman" w:hAnsi="Times New Roman" w:cs="Times New Roman"/>
          <w:b w:val="0"/>
          <w:bCs w:val="0"/>
          <w:color w:val="000000" w:themeColor="text1"/>
          <w:kern w:val="2"/>
          <w:sz w:val="28"/>
          <w:szCs w:val="28"/>
          <w:lang w:val="en-US" w:eastAsia="zh-CN" w:bidi="ar"/>
          <w14:textFill>
            <w14:solidFill>
              <w14:schemeClr w14:val="tx1"/>
            </w14:solidFill>
          </w14:textFill>
        </w:rPr>
        <w:t>September 14, 2026, for the 11</w:t>
      </w:r>
      <w:r>
        <w:rPr>
          <w:rFonts w:hint="eastAsia" w:ascii="Times New Roman" w:hAnsi="Times New Roman" w:cs="Times New Roman"/>
          <w:b w:val="0"/>
          <w:bCs w:val="0"/>
          <w:color w:val="000000" w:themeColor="text1"/>
          <w:kern w:val="2"/>
          <w:sz w:val="28"/>
          <w:szCs w:val="28"/>
          <w:vertAlign w:val="superscript"/>
          <w:lang w:val="en-US" w:eastAsia="zh-CN" w:bidi="ar"/>
          <w14:textFill>
            <w14:solidFill>
              <w14:schemeClr w14:val="tx1"/>
            </w14:solidFill>
          </w14:textFill>
        </w:rPr>
        <w:t>th</w:t>
      </w:r>
      <w:r>
        <w:rPr>
          <w:rFonts w:hint="eastAsia" w:ascii="Times New Roman" w:hAnsi="Times New Roman" w:cs="Times New Roman"/>
          <w:b w:val="0"/>
          <w:bCs w:val="0"/>
          <w:color w:val="000000" w:themeColor="text1"/>
          <w:kern w:val="2"/>
          <w:sz w:val="28"/>
          <w:szCs w:val="28"/>
          <w:lang w:val="en-US" w:eastAsia="zh-CN" w:bidi="ar"/>
          <w14:textFill>
            <w14:solidFill>
              <w14:schemeClr w14:val="tx1"/>
            </w14:solidFill>
          </w14:textFill>
        </w:rPr>
        <w:t xml:space="preserve"> time</w:t>
      </w:r>
      <w:r>
        <w:rPr>
          <w:rFonts w:hint="default" w:ascii="Times New Roman" w:hAnsi="Times New Roman" w:eastAsia="宋体" w:cs="Times New Roman"/>
          <w:b w:val="0"/>
          <w:bCs w:val="0"/>
          <w:color w:val="000000"/>
          <w:kern w:val="2"/>
          <w:sz w:val="28"/>
          <w:szCs w:val="28"/>
          <w:lang w:val="en-US" w:eastAsia="zh-CN" w:bidi="ar"/>
        </w:rPr>
        <w:t>)</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color w:val="0F4761"/>
          <w:kern w:val="2"/>
          <w:sz w:val="28"/>
          <w:szCs w:val="28"/>
        </w:rPr>
      </w:pPr>
      <w:r>
        <w:rPr>
          <w:rFonts w:hint="default" w:ascii="Times New Roman" w:hAnsi="Times New Roman" w:eastAsia="宋体" w:cs="Times New Roman"/>
          <w:b/>
          <w:bCs/>
          <w:color w:val="000000"/>
          <w:kern w:val="2"/>
          <w:sz w:val="28"/>
          <w:szCs w:val="28"/>
        </w:rPr>
        <w:t>Chapter 1</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General Provision</w:t>
      </w:r>
      <w:r>
        <w:rPr>
          <w:rFonts w:hint="default" w:ascii="Times New Roman" w:hAnsi="Times New Roman" w:eastAsia="宋体" w:cs="Times New Roman"/>
          <w:b/>
          <w:bCs/>
          <w:kern w:val="2"/>
          <w:sz w:val="28"/>
          <w:szCs w:val="28"/>
        </w:rPr>
        <w: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 xml:space="preserve">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w:t>
      </w:r>
      <w:r>
        <w:rPr>
          <w:rFonts w:hint="default" w:ascii="Times New Roman" w:hAnsi="Times New Roman" w:eastAsia="宋体" w:cs="Times New Roman"/>
          <w:i/>
          <w:iCs w:val="0"/>
          <w:color w:val="auto"/>
          <w:kern w:val="2"/>
          <w:sz w:val="28"/>
          <w:szCs w:val="28"/>
          <w:lang w:val="en-US" w:eastAsia="zh-CN" w:bidi="ar"/>
        </w:rPr>
        <w:t>of the Shanghai International Energy Exchange</w:t>
      </w:r>
      <w:r>
        <w:rPr>
          <w:rFonts w:hint="default" w:ascii="Times New Roman" w:hAnsi="Times New Roman" w:eastAsia="宋体" w:cs="Times New Roman"/>
          <w:color w:val="auto"/>
          <w:kern w:val="2"/>
          <w:sz w:val="28"/>
          <w:szCs w:val="28"/>
          <w:lang w:val="en-US" w:eastAsia="zh-CN" w:bidi="ar"/>
        </w:rPr>
        <w:t xml:space="preserve"> (hereinafter referred to as the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are formulated pursuant to the </w:t>
      </w:r>
      <w:r>
        <w:rPr>
          <w:rFonts w:hint="default" w:ascii="Times New Roman" w:hAnsi="Times New Roman" w:eastAsia="宋体" w:cs="Times New Roman"/>
          <w:i/>
          <w:iCs w:val="0"/>
          <w:color w:val="auto"/>
          <w:kern w:val="2"/>
          <w:sz w:val="28"/>
          <w:szCs w:val="28"/>
          <w:lang w:val="en-US" w:eastAsia="zh-CN" w:bidi="ar"/>
        </w:rPr>
        <w:t>General Exchange Rules of the Shanghai International Energy Exchange</w:t>
      </w:r>
      <w:r>
        <w:rPr>
          <w:rFonts w:hint="default" w:ascii="Times New Roman" w:hAnsi="Times New Roman" w:eastAsia="宋体" w:cs="Times New Roman"/>
          <w:color w:val="auto"/>
          <w:kern w:val="2"/>
          <w:sz w:val="28"/>
          <w:szCs w:val="28"/>
          <w:lang w:val="en-US" w:eastAsia="zh-CN" w:bidi="ar"/>
        </w:rPr>
        <w:t>, in order to regulate the futures trading activities, protect the legitimate rights and interests of all parties in futures trading, and maintain the orders of futures trading at the Shanghai International Energy Exchange (hereinafter referred to as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 xml:space="preserve">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are binding on the Exchange and its Members, Overseas Special Participants (hereinafter referred to as the “OSPs”), Overseas Intermediaries and Clients.</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kern w:val="2"/>
          <w:sz w:val="28"/>
          <w:szCs w:val="28"/>
        </w:rPr>
      </w:pPr>
      <w:r>
        <w:rPr>
          <w:rFonts w:hint="default" w:ascii="Times New Roman" w:hAnsi="Times New Roman" w:eastAsia="宋体" w:cs="Times New Roman"/>
          <w:b/>
          <w:bCs/>
          <w:color w:val="000000"/>
          <w:kern w:val="2"/>
          <w:sz w:val="28"/>
          <w:szCs w:val="28"/>
        </w:rPr>
        <w:t>Chapter 2</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Trading Seats Managemen</w:t>
      </w:r>
      <w:r>
        <w:rPr>
          <w:rFonts w:hint="default" w:ascii="Times New Roman" w:hAnsi="Times New Roman" w:eastAsia="宋体" w:cs="Times New Roman"/>
          <w:b/>
          <w:bCs/>
          <w:kern w:val="2"/>
          <w:sz w:val="28"/>
          <w:szCs w:val="28"/>
        </w:rPr>
        <w:t>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“trading seat” refers to the access through which a Member or an OSP places orders for execution into the Exchange’s electronic trading system for matching.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Multiple computer terminals can be connected to one trading seat through a server.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Member or an OSP may apply to the Exchange for the corresponding numbers of trading seats according to its business needs.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Member or an OSP applying for a trading seat shall meet the following criteria: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satisfying the requirements of trading volume and capital set forth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having necessary telecommunication facilities and funds transfer conditions at the proposed remote trading premises in compliance with the Exchange’s operational requirements for futures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being equipped with a stable and reliable computer system with backup systems, a telecommunication system (including telecommunication route), and appropriate telecommunication experts;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having sound internal rules and remote trading management measures;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operating in good condition and having no record of default or severe rule violations.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Member or an OSP applying for a trading seat shall submit the following materials to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purpose and types of the trading seat;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installation address and descriptions of the trading seat;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software and version information of the trading system;</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Client type and number of Clients;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as prescribed by the Exchange.</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The Exchange shall respond to the application in writing within ten (10) trading days as of receiving the complete application materials conforming to the requirements. If the application is approved, the Exchange shall notify the Members and OSPs to test the system. If the application is not approved, the Exchange shall inform the applicant with reasons.</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cs="Times New Roman"/>
          <w:b/>
          <w:bCs/>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Members and OSPs shall complete the trading facilities installation and system testing, and engage in the overall testing and simulation operation organized by the Exchange. A trading seat shall not be put into use until all the necessary requirements for the trading facilities installation and system testing are satisfied.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9</w:t>
      </w:r>
      <w:r>
        <w:rPr>
          <w:rFonts w:hint="eastAsia" w:ascii="Times New Roman" w:hAnsi="Times New Roman" w:cs="Times New Roman"/>
          <w:b/>
          <w:bCs/>
          <w:color w:val="auto"/>
          <w:kern w:val="2"/>
          <w:sz w:val="28"/>
          <w:szCs w:val="28"/>
          <w:lang w:val="en-US" w:eastAsia="zh-CN" w:bidi="ar"/>
        </w:rPr>
        <w:t xml:space="preserve"> </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For the trading seats granted, the applicant shall pay the trading seats fee annually. An undertaking letter of using the trading seats shall be submitted to the Exchange for the first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Trading seats fee collected shall not be refunded for any trading seat cancelled.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trading seats fee standards shall be prescribed by the Exchange separately.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Members and the OSPs shall improve the management of trading seats and the maintenance of trading system.</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retains the right to supervise and inspect the use of trading seats.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Member or an OSP shall obtain the prior approval of the Exchange to replace or modify its major trading facilities and software, and to remove the trading seats from the original registered premises.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Permission to use a trading seat shall be withdrawn under any of the following circumstances: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applies to withdraw the trading seat and obtains the Exchange’s approval;</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subcontracts, subleases or transfers the trading seat without the approval of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obtains confidential information through the trading system, or disrupts the trading system;</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fails to manage its trading seat(s) in a proper way, and is deemed ineligible to continue operating the trading seat(s);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disqualification of a Member or an OSP;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has serious rule violations;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circumstances prescribed by the Exchange.</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3</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Price and Filling of Orders</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timely publish the market data including the opening price, closing price, the highest price, the lowest price, the latest price, price change, the highest bid, the lowest ask, bid volume, ask volume, settlement price, trading volume, open interest and other information regarding futures trading.</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color w:val="000000"/>
          <w:sz w:val="28"/>
          <w:szCs w:val="28"/>
          <w:vertAlign w:val="baseline"/>
        </w:rPr>
      </w:pPr>
      <w:r>
        <w:rPr>
          <w:rFonts w:hint="default" w:ascii="Times New Roman" w:hAnsi="Times New Roman" w:eastAsia="宋体" w:cs="Times New Roman"/>
          <w:b/>
          <w:bCs/>
          <w:color w:val="000000"/>
          <w:kern w:val="2"/>
          <w:sz w:val="28"/>
          <w:szCs w:val="28"/>
          <w:lang w:val="en-US" w:eastAsia="zh-CN" w:bidi="ar"/>
        </w:rPr>
        <w:t>Article 15</w:t>
      </w:r>
      <w:r>
        <w:rPr>
          <w:rFonts w:hint="default" w:ascii="Times New Roman" w:hAnsi="Times New Roman" w:cs="Times New Roman"/>
          <w:b/>
          <w:bCs/>
          <w:color w:val="000000"/>
          <w:sz w:val="28"/>
          <w:szCs w:val="28"/>
          <w:vertAlign w:val="baseline"/>
        </w:rPr>
        <w:t xml:space="preserve"> </w:t>
      </w:r>
      <w:r>
        <w:rPr>
          <w:rFonts w:hint="default" w:ascii="Times New Roman" w:hAnsi="Times New Roman" w:cs="Times New Roman"/>
          <w:b w:val="0"/>
          <w:bCs w:val="0"/>
          <w:sz w:val="28"/>
          <w:szCs w:val="28"/>
          <w:vertAlign w:val="baseline"/>
        </w:rPr>
        <w:t>The type of trading order includes price limit order</w:t>
      </w:r>
      <w:r>
        <w:rPr>
          <w:rFonts w:hint="default" w:ascii="Times New Roman" w:hAnsi="Times New Roman" w:eastAsia="宋体" w:cs="Times New Roman"/>
          <w:b w:val="0"/>
          <w:bCs w:val="0"/>
          <w:strike w:val="0"/>
          <w:dstrike w:val="0"/>
          <w:color w:val="000000"/>
          <w:sz w:val="28"/>
          <w:szCs w:val="28"/>
          <w:vertAlign w:val="baseline"/>
        </w:rPr>
        <w:t>,</w:t>
      </w:r>
      <w:r>
        <w:rPr>
          <w:rFonts w:hint="default" w:ascii="Times New Roman" w:hAnsi="Times New Roman" w:cs="Times New Roman"/>
          <w:b w:val="0"/>
          <w:bCs w:val="0"/>
          <w:color w:val="000000"/>
          <w:sz w:val="28"/>
          <w:szCs w:val="28"/>
          <w:vertAlign w:val="baseline"/>
        </w:rPr>
        <w:t xml:space="preserve"> market order, spread order</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eastAsia="宋体" w:cs="Times New Roman"/>
          <w:b w:val="0"/>
          <w:bCs w:val="0"/>
          <w:strike w:val="0"/>
          <w:dstrike w:val="0"/>
          <w:color w:val="000000"/>
          <w:sz w:val="28"/>
          <w:szCs w:val="28"/>
          <w:vertAlign w:val="baseline"/>
        </w:rPr>
        <w:t>and other types as prescribed by the Exchange</w:t>
      </w:r>
      <w:r>
        <w:rPr>
          <w:rFonts w:hint="default" w:ascii="Times New Roman" w:hAnsi="Times New Roman" w:cs="Times New Roman"/>
          <w:b w:val="0"/>
          <w:bCs w:val="0"/>
          <w:color w:val="000000"/>
          <w:sz w:val="28"/>
          <w:szCs w:val="28"/>
          <w:vertAlign w:val="baseline"/>
        </w:rPr>
        <w:t>.</w:t>
      </w:r>
      <w:r>
        <w:rPr>
          <w:rFonts w:hint="eastAsia" w:ascii="Times New Roman" w:hAnsi="Times New Roman" w:cs="Times New Roman"/>
          <w:b w:val="0"/>
          <w:bCs w:val="0"/>
          <w:color w:val="000000"/>
          <w:sz w:val="28"/>
          <w:szCs w:val="28"/>
          <w:vertAlign w:val="baseline"/>
          <w:lang w:val="en-US" w:eastAsia="zh-CN"/>
        </w:rPr>
        <w:t xml:space="preserve"> L</w:t>
      </w:r>
      <w:r>
        <w:rPr>
          <w:rFonts w:hint="default" w:ascii="Times New Roman" w:hAnsi="Times New Roman" w:cs="Times New Roman"/>
          <w:b w:val="0"/>
          <w:bCs w:val="0"/>
          <w:color w:val="000000"/>
          <w:sz w:val="28"/>
          <w:szCs w:val="28"/>
          <w:vertAlign w:val="baseline"/>
        </w:rPr>
        <w:t>imit order</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cs="Times New Roman"/>
          <w:b w:val="0"/>
          <w:bCs w:val="0"/>
          <w:color w:val="000000"/>
          <w:sz w:val="28"/>
          <w:szCs w:val="28"/>
          <w:vertAlign w:val="baseline"/>
        </w:rPr>
        <w:t>market order</w:t>
      </w:r>
      <w:r>
        <w:rPr>
          <w:rFonts w:hint="eastAsia" w:ascii="Times New Roman" w:hAnsi="Times New Roman" w:cs="Times New Roman"/>
          <w:b w:val="0"/>
          <w:bCs w:val="0"/>
          <w:color w:val="000000"/>
          <w:sz w:val="28"/>
          <w:szCs w:val="28"/>
          <w:vertAlign w:val="baseline"/>
          <w:lang w:val="en-US" w:eastAsia="zh-CN"/>
        </w:rPr>
        <w:t xml:space="preserve"> and </w:t>
      </w:r>
      <w:r>
        <w:rPr>
          <w:rFonts w:hint="default" w:ascii="Times New Roman" w:hAnsi="Times New Roman" w:cs="Times New Roman"/>
          <w:b w:val="0"/>
          <w:bCs w:val="0"/>
          <w:color w:val="000000"/>
          <w:sz w:val="28"/>
          <w:szCs w:val="28"/>
          <w:vertAlign w:val="baseline"/>
        </w:rPr>
        <w:t>spread order</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cs="Times New Roman"/>
          <w:b w:val="0"/>
          <w:bCs w:val="0"/>
          <w:color w:val="000000"/>
          <w:sz w:val="28"/>
          <w:szCs w:val="28"/>
          <w:vertAlign w:val="baseline"/>
        </w:rPr>
        <w:t xml:space="preserve">may be attached with the properties of </w:t>
      </w:r>
      <w:r>
        <w:rPr>
          <w:rFonts w:hint="eastAsia" w:ascii="Times New Roman" w:hAnsi="Times New Roman" w:cs="Times New Roman"/>
          <w:b w:val="0"/>
          <w:bCs w:val="0"/>
          <w:color w:val="000000"/>
          <w:sz w:val="28"/>
          <w:szCs w:val="28"/>
          <w:vertAlign w:val="baseline"/>
          <w:lang w:val="en-US" w:eastAsia="zh-CN"/>
        </w:rPr>
        <w:t>either</w:t>
      </w:r>
      <w:r>
        <w:rPr>
          <w:rFonts w:hint="default" w:ascii="Times New Roman" w:hAnsi="Times New Roman" w:cs="Times New Roman"/>
          <w:b w:val="0"/>
          <w:bCs w:val="0"/>
          <w:color w:val="000000"/>
          <w:sz w:val="28"/>
          <w:szCs w:val="28"/>
          <w:vertAlign w:val="baseline"/>
        </w:rPr>
        <w:t xml:space="preserve"> fill or kill (FOK) or fill and kill (FAK) orders.</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color w:val="000000"/>
          <w:sz w:val="28"/>
          <w:szCs w:val="28"/>
          <w:vertAlign w:val="baseline"/>
        </w:rPr>
      </w:pPr>
      <w:r>
        <w:rPr>
          <w:rFonts w:hint="default" w:ascii="Times New Roman" w:hAnsi="Times New Roman" w:cs="Times New Roman"/>
          <w:b w:val="0"/>
          <w:bCs w:val="0"/>
          <w:color w:val="000000"/>
          <w:sz w:val="28"/>
          <w:szCs w:val="28"/>
          <w:vertAlign w:val="baseline"/>
        </w:rPr>
        <w:t xml:space="preserve">A limit order is an order to be executed at </w:t>
      </w:r>
      <w:r>
        <w:rPr>
          <w:rFonts w:hint="eastAsia" w:ascii="Times New Roman" w:hAnsi="Times New Roman" w:cs="Times New Roman"/>
          <w:b w:val="0"/>
          <w:bCs w:val="0"/>
          <w:color w:val="000000"/>
          <w:sz w:val="28"/>
          <w:szCs w:val="28"/>
          <w:vertAlign w:val="baseline"/>
          <w:lang w:val="en-US" w:eastAsia="zh-CN"/>
        </w:rPr>
        <w:t xml:space="preserve">a </w:t>
      </w:r>
      <w:r>
        <w:rPr>
          <w:rFonts w:hint="default" w:ascii="Times New Roman" w:hAnsi="Times New Roman" w:cs="Times New Roman"/>
          <w:b w:val="0"/>
          <w:bCs w:val="0"/>
          <w:color w:val="000000"/>
          <w:sz w:val="28"/>
          <w:szCs w:val="28"/>
          <w:vertAlign w:val="baseline"/>
        </w:rPr>
        <w:t xml:space="preserve">given price or better. </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eastAsia" w:ascii="Times New Roman" w:hAnsi="Times New Roman" w:cs="Times New Roman"/>
          <w:b w:val="0"/>
          <w:bCs w:val="0"/>
          <w:color w:val="000000"/>
          <w:sz w:val="28"/>
          <w:szCs w:val="28"/>
          <w:vertAlign w:val="baseline"/>
          <w:lang w:val="en-US" w:eastAsia="zh-CN"/>
        </w:rPr>
      </w:pPr>
      <w:r>
        <w:rPr>
          <w:rFonts w:hint="default" w:ascii="Times New Roman" w:hAnsi="Times New Roman" w:cs="Times New Roman"/>
          <w:b w:val="0"/>
          <w:bCs w:val="0"/>
          <w:color w:val="000000"/>
          <w:sz w:val="28"/>
          <w:szCs w:val="28"/>
          <w:vertAlign w:val="baseline"/>
        </w:rPr>
        <w:t>A market order is an</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cs="Times New Roman"/>
          <w:b w:val="0"/>
          <w:bCs w:val="0"/>
          <w:color w:val="000000"/>
          <w:sz w:val="28"/>
          <w:szCs w:val="28"/>
          <w:vertAlign w:val="baseline"/>
        </w:rPr>
        <w:t>order to be executed at the best executable price (quote) then available on the market. Market orders do not participate in call auctions.</w:t>
      </w:r>
      <w:r>
        <w:rPr>
          <w:rFonts w:hint="eastAsia" w:ascii="Times New Roman" w:hAnsi="Times New Roman" w:cs="Times New Roman"/>
          <w:b w:val="0"/>
          <w:bCs w:val="0"/>
          <w:color w:val="000000"/>
          <w:sz w:val="28"/>
          <w:szCs w:val="28"/>
          <w:vertAlign w:val="baseline"/>
          <w:lang w:val="en-US" w:eastAsia="zh-CN"/>
        </w:rPr>
        <w:t xml:space="preserve"> Any unfilled market orders are automatically cancelled or converted to limit orders.</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eastAsia" w:ascii="Times New Roman" w:hAnsi="Times New Roman" w:cs="Times New Roman"/>
          <w:b w:val="0"/>
          <w:bCs w:val="0"/>
          <w:color w:val="000000"/>
          <w:sz w:val="28"/>
          <w:szCs w:val="28"/>
          <w:vertAlign w:val="baseline"/>
          <w:lang w:val="en-US" w:eastAsia="zh-CN"/>
        </w:rPr>
      </w:pPr>
      <w:r>
        <w:rPr>
          <w:rFonts w:hint="eastAsia" w:ascii="Times New Roman" w:hAnsi="Times New Roman" w:cs="Times New Roman"/>
          <w:b w:val="0"/>
          <w:bCs w:val="0"/>
          <w:color w:val="000000"/>
          <w:sz w:val="28"/>
          <w:szCs w:val="28"/>
          <w:vertAlign w:val="baseline"/>
          <w:lang w:val="en-US" w:eastAsia="zh-CN"/>
        </w:rPr>
        <w:t>Spread orders are classified into calendar spread orders and intercommodity spread orders. A calendar spread order is an order to simultaneously buy and sell two futures contracts of the same underlying but different expiration dates. An intercommodity spread order is an order to simultaneously buy and sell two futures contracts of different underlyings.</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sz w:val="28"/>
          <w:szCs w:val="28"/>
          <w:vertAlign w:val="baseline"/>
        </w:rPr>
      </w:pPr>
      <w:r>
        <w:rPr>
          <w:rFonts w:hint="default" w:ascii="Times New Roman" w:hAnsi="Times New Roman" w:eastAsia="宋体" w:cs="Times New Roman"/>
          <w:b/>
          <w:bCs/>
          <w:color w:val="auto"/>
          <w:kern w:val="2"/>
          <w:sz w:val="28"/>
          <w:szCs w:val="28"/>
          <w:lang w:val="en-US" w:eastAsia="zh-CN" w:bidi="ar"/>
        </w:rPr>
        <w:t>Article 16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cs="Times New Roman"/>
          <w:b w:val="0"/>
          <w:bCs w:val="0"/>
          <w:sz w:val="28"/>
          <w:szCs w:val="28"/>
          <w:vertAlign w:val="baseline"/>
        </w:rPr>
        <w:t>A trading order on a futures contract shall only be quoted within the range of the price limits for the contract.</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color w:val="000000"/>
          <w:sz w:val="28"/>
          <w:szCs w:val="28"/>
          <w:vertAlign w:val="baseline"/>
        </w:rPr>
      </w:pPr>
      <w:r>
        <w:rPr>
          <w:rFonts w:hint="eastAsia" w:ascii="Times New Roman" w:hAnsi="Times New Roman" w:cs="Times New Roman"/>
          <w:b w:val="0"/>
          <w:bCs w:val="0"/>
          <w:color w:val="000000"/>
          <w:sz w:val="28"/>
          <w:szCs w:val="28"/>
          <w:vertAlign w:val="baseline"/>
          <w:lang w:val="en-US" w:eastAsia="zh-CN"/>
        </w:rPr>
        <w:t xml:space="preserve">The minimum order size and maximum order size will be separately specified by the Exchange. The Exchange may, in view of market conditions, separately adjust the minimum order size and maximum order size for each listed product and contract; the specific adjustment will be separately announced by the Exchange. The </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minimum order size</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 xml:space="preserve"> as referred to in this Article is further divided into minimum order size to open positions and minimum order size to close positions; the </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maximum order size</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 xml:space="preserve"> as referred to in this Article is further divided into maximum order size to open positions and maximum order size to close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Program trading shall be filed in advance with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If the trading orders placed by Members, OSPs, Overseas Intermediaries and Clients engaging in program trading may influence the safety of the Exchange’s system or disrupt the normal order of futures trading, the Exchange may adopt relevant restrictive measures.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Trading hours of the listed contracts on each trading day shall be managed by sessions, and announced by the Exchange separately when such contract is listed.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beginning and the end of the central auction session is automatically dictated by the Exchange’s trading system, and displayed on the computer terminals.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open central auction session is a five (5)-minute session prior to the market opening of continuous trading hours. The central auction session for the day trading is a five (5)-minute session prior to the opening of day trading hours. For a trading day that does not cover continuous trading hours, the open central auction session is a five (5)-minute session prior to the market opening of day trading hours.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During a central auction, bids and asks are entered into the central order book during the first four (4) minutes, and are matched during the last minute.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The open price is the execution price established in an open central auction. If no trade is executed in the auction, the price of the first trade executed in the following auction trading shall be the open price. The price of the first trade is calculated according to Article 20 or 21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central auction session applies “trade maximization” to the orders to be filled. The price established during the central auction session shall match the most bids and asks. Bids higher than or asks lower than the price generated from the central auction shall all be executed. Bids or asks at the price generated from the central auction shall be executed up to the number of bids or asks, whichever is less.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In continuous trading session, the Exchange’s trading system will automatically match the bids and asks in order of price and time priority.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Under the circumstance where the price limit is reached, the matching is in order of closing position priority and time priority. Closing position priority is not applicable to the close-out of intraday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new trading price is the price standing in the middle among the bid price (bp), the ask price (sp) and the price of the previous trade executed (cp), as follows: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bp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sp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cp, the current trading price = sp;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bp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cp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sp, the current trading price = cp; or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cp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bp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sp, the current trading price = bp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bid and ask matched through the trading system constitute a valid transaction, and the data thereof shall be sent through the Exchange’s trading system to the Members or/and the OSPs. The Members and the Overseas Special Brokerage Participants (hereinafter referred to as the “OSBP”) shall, upon the receipt of the transaction data, instantly notify the Clients of the completed transaction.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unfilled orders during the central auction session shall remain active for automatic matching in the following trading session. The unfilled orders during the continuous trading hours shall remain active for automatic matching in the central auction session of day trading hours. The orders will stay valid for the whole trading day until they are filled or cancelled.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At the close of each trading day, Members and OSPs shall check the trading records through the member service system of the Exchange, and shall promptly verify such records.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Should any dispute over the accuracy of the records arises, a Member or an OSP shall submit a notice in writing to the Exchange no less than thirty (30) minutes prior to the market opening of the next trading day. In case of an emergency, a notice in writing shall be submitted to the Exchange within two (2) hours after the market opening of the next trading day. The Exchange will promptly deal with the dispute and provide feedbacks thereof.</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If a Member or an OSP does not raise any objections within the specified time, it shall be regarded that the Member or the OSP has acknowledged the trading records.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for Physical (the “EFP”) is applicable to the previous open positions of all listed futures contracts of the Exchange, but not applicable to the new positions opened on the application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before 15:00 of the application day, close the positions of the corresponding futures contract of the delivery month held by the buyer and the seller tendering the EFP, at the settlement price of the trading day immediately before the application day for the corresponding contract of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listing price for a new contract is determined by the Exchange and shall be released in advance of the first day of trading. The price limit for such contract on its first trading day shall be determined on the basis of the listing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price limit for a new futures contract on its first trading day shall be twice the price limit stipulated by the contract specifications.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If trades are executed on the first trading day, the price limit shall revert to its regular price limit as set forth in the futures contracts specifications and the settlement price on the first trading day shall be determined pursuant to the provisions provided in the </w:t>
      </w:r>
      <w:r>
        <w:rPr>
          <w:rFonts w:hint="default" w:ascii="Times New Roman" w:hAnsi="Times New Roman" w:eastAsia="宋体" w:cs="Times New Roman"/>
          <w:i/>
          <w:iCs w:val="0"/>
          <w:color w:val="auto"/>
          <w:kern w:val="2"/>
          <w:sz w:val="28"/>
          <w:szCs w:val="28"/>
          <w:lang w:val="en-US" w:eastAsia="zh-CN" w:bidi="ar"/>
        </w:rPr>
        <w:t>Clearing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If there is no trade executed on the first trading day, the price limit of the next trading day shall remain twice the price limit stipulated by the contract specifications, and the settlement price on the first trading day shall be determined pursuant to the provisions provided in the </w:t>
      </w:r>
      <w:r>
        <w:rPr>
          <w:rFonts w:hint="default" w:ascii="Times New Roman" w:hAnsi="Times New Roman" w:eastAsia="宋体" w:cs="Times New Roman"/>
          <w:i/>
          <w:iCs w:val="0"/>
          <w:color w:val="auto"/>
          <w:kern w:val="2"/>
          <w:sz w:val="28"/>
          <w:szCs w:val="28"/>
          <w:lang w:val="en-US" w:eastAsia="zh-CN" w:bidi="ar"/>
        </w:rPr>
        <w:t>Clearing Rules of the Shanghai International Energy Exchange</w:t>
      </w:r>
      <w:r>
        <w:rPr>
          <w:rFonts w:hint="default" w:ascii="Times New Roman" w:hAnsi="Times New Roman" w:eastAsia="宋体" w:cs="Times New Roman"/>
          <w:color w:val="auto"/>
          <w:kern w:val="2"/>
          <w:sz w:val="28"/>
          <w:szCs w:val="28"/>
          <w:lang w:val="en-US" w:eastAsia="zh-CN" w:bidi="ar"/>
        </w:rPr>
        <w:t>. When applying such provisions, the listing price of a new futures contract on the first trading day shall be deemed as the settlement price of the previous trading day of such contract.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b w:val="0"/>
          <w:bCs w:val="0"/>
          <w:sz w:val="28"/>
          <w:szCs w:val="28"/>
          <w:vertAlign w:val="baseline"/>
        </w:rPr>
      </w:pPr>
      <w:r>
        <w:rPr>
          <w:rFonts w:hint="default" w:ascii="Times New Roman" w:hAnsi="Times New Roman" w:eastAsia="宋体" w:cs="Times New Roman"/>
          <w:b/>
          <w:bCs/>
          <w:color w:val="auto"/>
          <w:kern w:val="2"/>
          <w:sz w:val="28"/>
          <w:szCs w:val="28"/>
          <w:lang w:val="en-US" w:eastAsia="zh-CN" w:bidi="ar"/>
        </w:rPr>
        <w:t>Article 28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cs="Times New Roman"/>
          <w:b/>
          <w:bCs/>
          <w:sz w:val="28"/>
          <w:szCs w:val="28"/>
          <w:vertAlign w:val="baseline"/>
        </w:rPr>
        <w:t xml:space="preserve">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If ten percent</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10%</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or more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of the Members or OSPs are unable to trade due to a breakdown of trading facilities such as computer or telecommunication systems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or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the Exchange otherwise deems it is necessary to do so, the Exchange may adjust the market open</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or clos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time, suspend trading, adjust the last trading day, expiration date,</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last delivery day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and other relevant dates of the relevant contracts, and take other necessary measures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4</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Trading Code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29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implement the trading code.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Trading codes are classified into trading codes for Non-Futures Firm Members (hereinafter referred to as the “Non-FF Members”), trading code for Overseas Special Non-Brokerage Participants (hereinafter referred to as the “OSNBP”) and trading code for Clients, unless otherwise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Each Client may open trading accounts with different Futures Firm Members (hereinafter referred to as the “FF Members”), OSBPs, Overseas Intermediaries or other institutions (hereinafter collectively referred to as the “account opening institutions”). Account opening institutions are not allowed to aggregate or net multi-Clients’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30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Account opening institutions shall conduct trading code application and other account opening formalities for Clients in accordance with the relevant rules of the China Securities Regulatory Commission (hereinafter referred to as the “CSRC”), the China Futures Market Monitoring Center (hereinafter referred to as the “CFMMC”) and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Securities companies, fund management companies, trust companies, banks and other financial institutions, social security companies, Qualified Foreign Institutional Investors (QFIIs), RMB Qualified Foreign Institutional Investors (RQFIIs), and other special institutional clients who manage assets under segregated accounts may apply for a trading code in accordance with the relevant rules of the CFMMC pursuant to the laws, regulations, rules, and other relevant provisions.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account opening institution shall sign a futures brokerage contract with each of its Clients. Clients may place trading orders with clear instructions and complete information through written authorization, telephone, internet or any other means prescribed by the CSRC.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After receiving the account opening application materials of a Client forwarded by the CFMMC, the Exchange shall allocate, assign and manage the Client’s trading code, and report the processing results to the account opening institution via the CFMMC.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After receiving the account opening application materials of a Non-FF Member and/or an OSNBP, the Exchange shall allocate, assign and manage the trading code of the Non-FF Member and/or the OSNBP, and report to them the processing results, respectively.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trading account shall not be opened during continuous trading hours.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revoke the trading code of a Non-FF Member, an OSNBP or a Client if any of the following condition occurs: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materials presented are false;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an FF Member or an OSBP applies for cancellation of trading codes of its clients and there are no open positions under such trading codes; </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or an OSNBP applies for cancellation of its trading code, and there are no open positions under such trading code;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be imposed a ban for participating in a securities market or futures market by the CSRC;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be declared as “persona non grata to the market”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circumstances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An account opening institution may be required by the Exchange to liquidate the positions within a specified time period if its Clients, or it assists its Clients to, submit false materials as part of the account opening and trading code application. A Non-FF Member or an OSNBP may be required by the Exchange to liquidate the positions within a specified time period, if it submits false materials for account opening and trading code application. The trading code shall be cancelled following the liquidation of the positions, and additional sanctions shall be imposed in accordance with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5</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Hedge trading quota is classified into hedge trading position quota for regular months (hereinafter referred to as the “hedging quota for regular months”) and hedge trading position quota for nearby delivery months (hereinafter referred to as the “hedging quota for nearby delivery months”). Hedging quota for regular months is classified into long hedging quota for regular months and short hedging quota for regular months. Hedging quota for nearby delivery months is classified into long hedging quota for nearby delivery months and short hedging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For calculation purposes, long hedging quota includes the hedging quota for long positions in futures contracts, long positions in call options contracts, and short positions in put options contracts; short hedging quota includes the hedging quota for short positions in futures contracts, short positions in call options contracts, and long positions in put options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The regular months and nearby delivery months of a contract, as well as its quota application time are prescribed in the chapter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regarding contracts of the listed product.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Hedging quota for regular months and hedging quota for nearby delivery months of each contract of the listed products is obtained by approval of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Application for hedging quota for regular months may be submitted either for a particular contract or for a particular product. The hedging quota obtained from a contract-specific application may be used only for that particular contract. The hedging quota obtained from a product-specific application may be used for all presently listed contracts for that particular product. The Exchange will separately announce which type of application will be available for each of its products and may make adjustments based on market conditions.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 xml:space="preserve">Contract-specific applications for hedging quota for regular months are subject to the application time window provided in the product-specific rules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Product-specific applications for hedging quota for regular months may be submitted on any trading day of the year. The quota will be valid from the date of approval to June 30 of the following year.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color w:val="auto"/>
          <w:kern w:val="2"/>
          <w:sz w:val="28"/>
          <w:szCs w:val="28"/>
          <w:lang w:val="en-US" w:eastAsia="zh-CN" w:bidi="ar"/>
        </w:rPr>
        <w:t>A Client shall submit its hedging quota applications to its account opening institution, which shall, after reviewing them, complete the application procedures at the Exchange in accordance with the relevant rules. A Non-FF Member or OSNBP shall submit its hedging quota applications directly to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OSNBP, or Client that applies for a product-specific or contract-specific hedging quota for regular months shall submit the following application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Hedging Quota for Regular Months, including applicant’s basic information, the products or contracts for the application, the requested hedging quota for regular months, and other relevant information;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2. </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copy of the business license, a certificate of incorporation, or other documents which may prove the applicant’s business scope;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business performance of physical commodities in the previous year or the latest audited annual financial report;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business plan of physical commodities for the current year or the following year, and any purchase and sale contracts or other valid certificates related to the application for hedging;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hedging strategy, including analyses of the source of risks and hedging objectives;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hedging management rules, if the applicant is a Non-FF Member or an OSNBP;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Non-FF Member, an OSNBP or a Client may apply for</w:t>
      </w:r>
      <w:r>
        <w:rPr>
          <w:rFonts w:hint="default" w:ascii="Times New Roman" w:hAnsi="Times New Roman" w:eastAsia="宋体" w:cs="Times New Roman"/>
          <w:b w:val="0"/>
          <w:bCs w:val="0"/>
          <w:color w:val="auto"/>
          <w:kern w:val="2"/>
          <w:sz w:val="28"/>
          <w:szCs w:val="28"/>
          <w:lang w:val="en-US" w:eastAsia="zh-CN" w:bidi="ar"/>
        </w:rPr>
        <w:t xml:space="preserve"> contract-specific</w:t>
      </w:r>
      <w:r>
        <w:rPr>
          <w:rFonts w:hint="default" w:ascii="Times New Roman" w:hAnsi="Times New Roman" w:eastAsia="宋体" w:cs="Times New Roman"/>
          <w:color w:val="auto"/>
          <w:kern w:val="2"/>
          <w:sz w:val="28"/>
          <w:szCs w:val="28"/>
          <w:lang w:val="en-US" w:eastAsia="zh-CN" w:bidi="ar"/>
        </w:rPr>
        <w:t xml:space="preserve"> hedging quota for regular months for multiple contracts once at a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39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hedging quota for regular months of an applicant based on whether or not, the subject is competent, the real hedging needs exist, and the hedging products, the positions held, required trading volumes and the hedging period match the production and operation scale, historic operational conditions, financial conditions and other related factors. Hedging quotas for regular months shall not exceed the quota applied by the applicant.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which needs to adjust the hedging quota for regular months shall timely submit an application for adjustment and provide supporting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applying for hedging quota for the nearby delivery months, may apply for the quota of certain contract(s) and submit the following materials in accordance with the contract: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1. </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Hedging Quota for Nearby Delivery Months, including the applicant’s basic information, the contracts applied, the hedging quota applied for nearby delivery months, etc.;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copy of business license, a certificate of incorporation, or other documents which may prove the applicant’s business scope;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relevant materials which can prove the authenticity of the hedging needs, including the production plan for the current year or the previous year, warrants for physical commodities, processing orders, purchase and sale contracts, purchase and sale invoices, or other valid certificates of the ownership of physical commodities corresponding to the application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hedging management rules, if the applicant is a Non-FF Member, or an OSNBP;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If the above materials have been submitted to the Exchange and no change occurs thereafter, there is no need to re-submit the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hedging quota for nearby delivery months based on factors such as the positions held, the trading volumes, the operational conditions of physical commodities, the positions of the corresponding futures contract, stocks of the deliverable commodities of the Exchange, and whether or not the prices of futures and its underlying physical commodities have deviated.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aggregate hedging quota for nearby delivery months for each contract month throughout the year shall not exceed the amount of production capacity or the production plan for the current year, or the business volume of the previous year.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eastAsia="宋体"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Upon receiving all the application materials for hedging quota, the Exchange shall, within five (5) trading days, review the application and make a decision based on the following scenarios: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application if the hedging requirements are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disapprove the application if the hedging requirements are not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request additional supporting documents from the applicant if the application materials are insufficient.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After obtaining the hedging quota, a Non-FF Member, an OSNBP or a Client may establish hedging positions either directly by placing trading orders or by confirming positions in accordance with applicable rules, in each case before the market closes on the third trading day prior to the last trading day of the contract involved in the hedge. If the positions are not opened by the prescribed deadline, it is deemed a waiver of the hedging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Option hedging positions are converted to the corresponding futures hedging positions upon exercise or performance of the option.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For those who did not apply for a hedging quota for nearby delivery months, once the contract enters the nearby delivery months, the hedging quota for regular months may be automatically converted to a hedging quota for nearby delivery months in a specified amount. The products to which this automatic conversion is applicable, the time when it is performed, and the conversion amount will be separately announced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Integer multiple adjustments to hedging positions of relevant products for nearby delivery months shall be implemented by reference to the method of integer multiple adjustments to general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the hedging positions of a Non-FF Member, an OSNBP or a Client exceed the approved quota, the Non-FF Member, the OSNBP or the Client shall make adjustments on its own during the first session of trading hours on the next trading day. If the adjustments are not made within the prescribed time or the requirements remain unsatisfied even after adjustments, the Exchange may implement forced position liquidation.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investigate and supervise the production and operational conditions, credit profile and trading activities in the futures and physical markets provided by hedging applicants, and the applicants shall assist and cooperate with the Exchange during the investigation and supervision.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supervise the usage of hedging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Exchange may adjust the hedging quota of a Non-FF Member, an OSNBP or a Client based on the market condition, and the production and operational conditions of the hedging applicant.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Exchange may require a Non-FF Member, an OSNBP or a Client to report the futures and physicals trading activities, and provide supplementary supporting materials for the obtained hedging quota based on the futures and physical markets and the open interest held in the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49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a Non-FF Member, an OSNBP or a Client has material change in its production and operational conditions, etc. that may affect the hedging quotas, it shall report to the Exchange without delay.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If a Non-FF Member, OSNBP, or Client </w:t>
      </w:r>
      <w:r>
        <w:rPr>
          <w:rFonts w:hint="default" w:ascii="Times New Roman" w:hAnsi="Times New Roman" w:eastAsia="宋体" w:cs="Times New Roman"/>
          <w:b w:val="0"/>
          <w:bCs w:val="0"/>
          <w:color w:val="auto"/>
          <w:kern w:val="2"/>
          <w:sz w:val="28"/>
          <w:szCs w:val="28"/>
          <w:lang w:val="en-US" w:eastAsia="zh-CN" w:bidi="ar"/>
        </w:rPr>
        <w:t>falls under any of the following circumstances</w:t>
      </w:r>
      <w:r>
        <w:rPr>
          <w:rFonts w:hint="default" w:ascii="Times New Roman" w:hAnsi="Times New Roman" w:eastAsia="宋体" w:cs="Times New Roman"/>
          <w:color w:val="auto"/>
          <w:kern w:val="2"/>
          <w:sz w:val="28"/>
          <w:szCs w:val="28"/>
          <w:lang w:val="en-US" w:eastAsia="zh-CN" w:bidi="ar"/>
        </w:rPr>
        <w:t>, the Exchange may take the following actions depending on the severity of the offence: giving a verbal alert, issuing a warning letter, adjusting or canceling the hedging quota, restricting position opening, ordering the liquidation of positions within a specified period, implementing forced position liquidation, among other</w:t>
      </w:r>
      <w:r>
        <w:rPr>
          <w:rFonts w:hint="default" w:ascii="Times New Roman" w:hAnsi="Times New Roman" w:eastAsia="宋体" w:cs="Times New Roman"/>
          <w:b w:val="0"/>
          <w:bCs w:val="0"/>
          <w:color w:val="auto"/>
          <w:kern w:val="2"/>
          <w:sz w:val="28"/>
          <w:szCs w:val="28"/>
          <w:lang w:val="en-US" w:eastAsia="zh-CN" w:bidi="ar"/>
        </w:rPr>
        <w: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1.</w:t>
      </w:r>
      <w:r>
        <w:rPr>
          <w:rFonts w:hint="default" w:ascii="Times New Roman" w:hAnsi="Times New Roman" w:eastAsia="宋体" w:cs="Times New Roman"/>
          <w:b w:val="0"/>
          <w:bCs w:val="0"/>
          <w:color w:val="auto"/>
          <w:kern w:val="2"/>
          <w:sz w:val="28"/>
          <w:szCs w:val="28"/>
          <w:lang w:val="en-US" w:eastAsia="zh-CN" w:bidi="ar"/>
        </w:rPr>
        <w:tab/>
      </w:r>
      <w:r>
        <w:rPr>
          <w:rFonts w:hint="default" w:ascii="Times New Roman" w:hAnsi="Times New Roman" w:eastAsia="宋体" w:cs="Times New Roman"/>
          <w:b w:val="0"/>
          <w:bCs w:val="0"/>
          <w:color w:val="auto"/>
          <w:kern w:val="2"/>
          <w:sz w:val="28"/>
          <w:szCs w:val="28"/>
          <w:lang w:val="en-US" w:eastAsia="zh-CN" w:bidi="ar"/>
        </w:rPr>
        <w:t xml:space="preserve">frequently opening and closing positions </w:t>
      </w:r>
      <w:r>
        <w:rPr>
          <w:rFonts w:hint="eastAsia" w:ascii="Times New Roman" w:hAnsi="Times New Roman" w:cs="Times New Roman"/>
          <w:b w:val="0"/>
          <w:bCs w:val="0"/>
          <w:color w:val="auto"/>
          <w:kern w:val="2"/>
          <w:sz w:val="28"/>
          <w:szCs w:val="28"/>
          <w:lang w:val="en-US" w:eastAsia="zh-CN" w:bidi="ar"/>
        </w:rPr>
        <w:t>using</w:t>
      </w:r>
      <w:r>
        <w:rPr>
          <w:rFonts w:hint="default" w:ascii="Times New Roman" w:hAnsi="Times New Roman" w:eastAsia="宋体" w:cs="Times New Roman"/>
          <w:b w:val="0"/>
          <w:bCs w:val="0"/>
          <w:color w:val="auto"/>
          <w:kern w:val="2"/>
          <w:sz w:val="28"/>
          <w:szCs w:val="28"/>
          <w:lang w:val="en-US" w:eastAsia="zh-CN" w:bidi="ar"/>
        </w:rPr>
        <w:t xml:space="preserve"> the hedging quota while failing to provide a justifiable reason;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2.</w:t>
      </w:r>
      <w:r>
        <w:rPr>
          <w:rFonts w:hint="default" w:ascii="Times New Roman" w:hAnsi="Times New Roman" w:eastAsia="宋体" w:cs="Times New Roman"/>
          <w:b w:val="0"/>
          <w:bCs w:val="0"/>
          <w:color w:val="auto"/>
          <w:kern w:val="2"/>
          <w:sz w:val="28"/>
          <w:szCs w:val="28"/>
          <w:lang w:val="en-US" w:eastAsia="zh-CN" w:bidi="ar"/>
        </w:rPr>
        <w:tab/>
      </w:r>
      <w:r>
        <w:rPr>
          <w:rFonts w:hint="default" w:ascii="Times New Roman" w:hAnsi="Times New Roman" w:eastAsia="宋体" w:cs="Times New Roman"/>
          <w:b w:val="0"/>
          <w:bCs w:val="0"/>
          <w:color w:val="auto"/>
          <w:kern w:val="2"/>
          <w:sz w:val="28"/>
          <w:szCs w:val="28"/>
          <w:lang w:val="en-US" w:eastAsia="zh-CN" w:bidi="ar"/>
        </w:rPr>
        <w:t>engaging in any trade that is not economically rational while failing to provide a justifiable reason; or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3.</w:t>
      </w:r>
      <w:r>
        <w:rPr>
          <w:rFonts w:hint="default" w:ascii="Times New Roman" w:hAnsi="Times New Roman" w:eastAsia="宋体" w:cs="Times New Roman"/>
          <w:b w:val="0"/>
          <w:bCs w:val="0"/>
          <w:color w:val="auto"/>
          <w:kern w:val="2"/>
          <w:sz w:val="28"/>
          <w:szCs w:val="28"/>
          <w:lang w:val="en-US" w:eastAsia="zh-CN" w:bidi="ar"/>
        </w:rPr>
        <w:tab/>
      </w:r>
      <w:r>
        <w:rPr>
          <w:rFonts w:hint="default" w:ascii="Times New Roman" w:hAnsi="Times New Roman" w:eastAsia="宋体" w:cs="Times New Roman"/>
          <w:b w:val="0"/>
          <w:bCs w:val="0"/>
          <w:color w:val="auto"/>
          <w:kern w:val="2"/>
          <w:sz w:val="28"/>
          <w:szCs w:val="28"/>
          <w:lang w:val="en-US" w:eastAsia="zh-CN" w:bidi="ar"/>
        </w:rPr>
        <w:t>falling under any other circumstance recognized by the Exchange as incongruent with the purpose of hedging.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If a Member, an OSP, an Overseas Intermediary or a Client engages in any fraud or violation of the Exchange’s rules when applying for hedging quota or conducting hedging activities, the Exchange may dismiss the application, adjust or cancel the hedging quota, convert the hedging positions to general positions, or implement forced position liquidation, and impose other sanctions according to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formulate the method of collecting margins and transaction fees for hedging positions.</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6</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Arbitrage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Arbitrage trading is classified into calendar spread arbitrage and cross-product arbitrage. The product portfolio for cross-product arbitrage will be announced by the Exchange separately.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the quota for general positions cannot satisfy the arbitrage requirements, a Non-FF Member, an OSNBP or a Client may apply for arbitrage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Arbitrage quota is classified into arbitrage trading position quota for regular months (hereinafter referred to as the “arbitrage quota for regular months”) and arbitrage trading position quota for nearby delivery months (hereinafter referred to as the “arbitrage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arbitrage quota for regular months applies to all the contracts of the applied products in regular months, but cannot be converted to the arbitrage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Clients shall apply to their account opening institutions for arbitrage quota. The account opening institutions shall, according to relevant provisions, apply to the Exchange after verification. Non-FF Members and OSNBPs shall directly apply to the Exchange for arbitrage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may apply for arbitrage quota for the regular months of certain listed product(s) and submit the following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Arbitrage Quota for Regular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arbitrage trading strategies, including the description of fund source and size, calendar spread arbitrage or cross-products arbitrage and any other relevant factors;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determine the arbitrage quota for regular months based on the market condition, applicant’s credit profile, trading history, usage of arbitrage trading positions and any other relevant factors.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may apply for arbitrage quota for nearby delivery months of certain contract(s) and submit the following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Arbitrage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arbitrage trading strategies, including the description of fund source and size, calendar spread arbitrage or cross-products arbitrage, arrangement for position opening and reduction, intention of delivery and any other relevant factors;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price deviation analyses for applied contract(s);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59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determine the arbitrage quota for nearby delivery months based on the market condition, applicant’s credit profile, trading history, usage of arbitrage trading positions, amount of deliverable commodities, whether price differences of applied contracts are deviated and any other relevant factors.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Upon receiving all the application materials for arbitrage quota, the Exchange shall, within five (5) trading days, review the application and make a decision based on the following scenarios: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application if the arbitrage trading requirements are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disapprove the application if the arbitrage trading requirements are not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request additional supporting documents from the applicant if the application materials are insufficient.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a Non-FF Member, an OSNBP or a Client needs to adjust the arbitrage quota, it shall submit an application of adjustment to the Exchange along with supporting documents without delay. If there is material change in its operational conditions, it shall timely report to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adjust the arbitrage quota of a Non-FF Member, an OSNBP or a Client based on the market condition.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the general positions and the arbitrage trading positions of a Non-FF Member, an OSNBP or a Client accumulatively exceed the sum of the general position limit for the contracts in different periods and the approved arbitrage quota of the same period, the Non-FF Member, the OSNBP or the Client shall make adjustments on their own during the first session of trading hours on the next trading day; if the adjustments are not made within the prescribed time or the requirements are still not satisfied even after adjustments, the Exchange may implement forced position liquidation.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sum of general positions and arbitrage trading positions is the non-hedging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For calculation purposes, long non-hedging quota includes the non-hedging quota for long positions in futures contracts, long positions in call options contracts, and short positions in put options contracts; short non-hedging quota includes the non-hedging quota for short positions in futures contract, short positions in call options contracts, and long positions in put options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supervise the usage of the obtained arbitrage quota by a Non-FF Member, an OSNBP or a Client.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If a Member, an OSP, an Overseas Intermediary or a Client engages in any fraud or violation of laws, regulations and the Exchange’s rules when applying for arbitrage quota or conducting arbitrage activities, the Exchange may dismiss the application, adjust or cancel the arbitrage quota, or if necessary, take measures such as restricting position opening, ordering position liquidation to be conducted within a specified period, implementing forced position liquidation and impose other sanctions according to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If a Non-FF Member, an OSNBP or a Client uses the approved arbitrage quota to affect or attempt to affect market prices, the Exchange may adopt the following measures depending on the severity of the situation: giving verbal alert, warning letter, adjusting or canceling the arbitrage quota, or if necessary, restricting position opening, ordering position liquidation to be conducted within a specified period, implementing position liquidation and imposing other sanctions according to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formulate the methods for collecting margins and transaction fees for arbitrage trading positions.</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kern w:val="2"/>
          <w:sz w:val="28"/>
          <w:szCs w:val="28"/>
        </w:rPr>
      </w:pPr>
      <w:r>
        <w:rPr>
          <w:rFonts w:hint="default" w:ascii="Times New Roman" w:hAnsi="Times New Roman" w:eastAsia="宋体" w:cs="Times New Roman"/>
          <w:b/>
          <w:bCs/>
          <w:color w:val="000000"/>
          <w:kern w:val="2"/>
          <w:sz w:val="28"/>
          <w:szCs w:val="28"/>
        </w:rPr>
        <w:t>Chapter 7</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Crude Oil Futures Contracts and Crude Oil Options Contract</w:t>
      </w:r>
      <w:r>
        <w:rPr>
          <w:rFonts w:hint="default" w:ascii="Times New Roman" w:hAnsi="Times New Roman" w:eastAsia="宋体" w:cs="Times New Roman"/>
          <w:b/>
          <w:bCs/>
          <w:kern w:val="2"/>
          <w:sz w:val="28"/>
          <w:szCs w:val="28"/>
        </w:rPr>
        <w: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regular months regarding the hedging and arbitrage trading positions of a crude oil futures contract or crude oil options contract shall be the period from the listing day of the contract to the last trading day in the third month prior to the delivery month (or, here and hereinafter, the contract month in the case of options contracts); the nearby delivery months are the second and the first months prior to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An application for contract-specific hedging quota for regular months of a crude oil futures contract or crude oil options contract shall be submitted between the listing day of the contract and the last trading day of the third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i/>
          <w:iCs/>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An application for hedging quota for nearby delivery months of a crude oil futures contract or crude oil options contract shall be submitted between the first trading day of the third month prior to the delivery month and the last trading day of the second month prior to the delivery month of the contract; that for arbitrage quota for nearby delivery months shall be submitted between the first trading day of the third month prior to the delivery month and the last trading day of the second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69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crude oil futures contract or crude oil options contract may be repeatedly used in the second month prior to the delivery month, but cannot be repeatedly used from the first trading day of the first month prior to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8</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Low Sulfur Fuel Oil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low sulfur fuel oil futures contract, the regular months are the period from the listing day of the contract to the last trading day of the third month prior to the delivery month; the nearby delivery months are the second month prior to the delivery month and the month prior to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fo</w:t>
      </w:r>
      <w:r>
        <w:rPr>
          <w:rFonts w:hint="default" w:ascii="Times New Roman" w:hAnsi="Times New Roman" w:eastAsia="宋体" w:cs="Times New Roman"/>
          <w:b w:val="0"/>
          <w:bCs w:val="0"/>
          <w:color w:val="auto"/>
          <w:kern w:val="2"/>
          <w:sz w:val="28"/>
          <w:szCs w:val="28"/>
          <w:lang w:val="en-US" w:eastAsia="zh-CN" w:bidi="ar"/>
        </w:rPr>
        <w:t xml:space="preserve">r contract-specific hedging quota for regular months of a low sulfur fuel oil futures contract shall be submitted between the listing day of the contract and the last trading day of the third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val="0"/>
          <w:bCs w:val="0"/>
          <w:color w:val="auto"/>
          <w:kern w:val="2"/>
          <w:sz w:val="28"/>
          <w:szCs w:val="28"/>
          <w:lang w:val="en-US" w:eastAsia="zh-CN" w:bidi="ar"/>
        </w:rPr>
        <w:t>An application for hedging quota for nearby delivery months of a low sulfur fuel oil futures contract shall be submitted between the first trading day of the third m</w:t>
      </w:r>
      <w:r>
        <w:rPr>
          <w:rFonts w:hint="default" w:ascii="Times New Roman" w:hAnsi="Times New Roman" w:eastAsia="宋体" w:cs="Times New Roman"/>
          <w:color w:val="auto"/>
          <w:kern w:val="2"/>
          <w:sz w:val="28"/>
          <w:szCs w:val="28"/>
          <w:lang w:val="en-US" w:eastAsia="zh-CN" w:bidi="ar"/>
        </w:rPr>
        <w:t>onth prior to the delivery month of the contract and the last trading day of the second month prior to the delivery month of the contract. An application for arbitrage quota for nearby delivery months of a low sulfur fuel oil futures contract shall be submitted between the first trading day of the third month prior to the delivery month of the contract and the last trading day of the second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low sulfur fuel oil futures contract may be repeatedly used in the second month prior to the delivery month, but cannot be repeatedly used from the first trading day of the month prior to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9</w:t>
      </w:r>
      <w:r>
        <w:rPr>
          <w:rFonts w:hint="default" w:ascii="Times New Roman" w:hAnsi="Times New Roman" w:eastAsia="宋体" w:cs="Times New Roman"/>
          <w:b/>
          <w:bCs/>
          <w:color w:val="000000"/>
          <w:kern w:val="2"/>
          <w:sz w:val="28"/>
          <w:szCs w:val="28"/>
        </w:rPr>
        <w:tab/>
      </w:r>
      <w:r>
        <w:rPr>
          <w:rFonts w:hint="eastAsia" w:ascii="Times New Roman" w:hAnsi="Times New Roman"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Hedge Trading and Arbitrage Trading of TSR 20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TSR 20 futures contract, the regular months are the period from the listing day of the contract to the last trading day of the second month prior to the delivery month; the nearby delivery months are the month prior to the delivery month and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w:t>
      </w:r>
      <w:r>
        <w:rPr>
          <w:rFonts w:hint="default" w:ascii="Times New Roman" w:hAnsi="Times New Roman" w:eastAsia="宋体" w:cs="Times New Roman"/>
          <w:b w:val="0"/>
          <w:bCs w:val="0"/>
          <w:color w:val="auto"/>
          <w:kern w:val="2"/>
          <w:sz w:val="28"/>
          <w:szCs w:val="28"/>
          <w:lang w:val="en-US" w:eastAsia="zh-CN" w:bidi="ar"/>
        </w:rPr>
        <w:t xml:space="preserve">or contract-specific hedging quota for regular months of a TSR 20 futures contract shall be submitted between the listing day of the contract and the last trading day of the second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val="0"/>
          <w:bCs w:val="0"/>
          <w:color w:val="auto"/>
          <w:kern w:val="2"/>
          <w:sz w:val="28"/>
          <w:szCs w:val="28"/>
          <w:lang w:val="en-US" w:eastAsia="zh-CN" w:bidi="ar"/>
        </w:rPr>
        <w:t xml:space="preserve">An application for hedging quota for nearby delivery months of a TSR 20 futures contract shall be submitted between the first trading day of the second </w:t>
      </w:r>
      <w:r>
        <w:rPr>
          <w:rFonts w:hint="default" w:ascii="Times New Roman" w:hAnsi="Times New Roman" w:eastAsia="宋体" w:cs="Times New Roman"/>
          <w:color w:val="auto"/>
          <w:kern w:val="2"/>
          <w:sz w:val="28"/>
          <w:szCs w:val="28"/>
          <w:lang w:val="en-US" w:eastAsia="zh-CN" w:bidi="ar"/>
        </w:rPr>
        <w:t>month prior to the delivery month of the contract and the last trading day of the month prior to the delivery month of the contract. An application for arbitrage quota for nearby delivery months of a TSR 20 futures contract shall be submitted between the first trading day of the second month prior to the delivery month of the contract and the last trading day of the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TSR 20 futures contract may be repeatedly used in the month prior to the delivery month, but cannot be repeatedly used from the first trading day of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color w:val="000000"/>
          <w:kern w:val="2"/>
          <w:sz w:val="28"/>
          <w:szCs w:val="28"/>
        </w:rPr>
      </w:pPr>
      <w:r>
        <w:rPr>
          <w:rFonts w:hint="default" w:ascii="Times New Roman" w:hAnsi="Times New Roman" w:eastAsia="宋体" w:cs="Times New Roman"/>
          <w:b/>
          <w:bCs/>
          <w:color w:val="000000"/>
          <w:kern w:val="2"/>
          <w:sz w:val="28"/>
          <w:szCs w:val="28"/>
        </w:rPr>
        <w:t>Chapter 10</w:t>
      </w:r>
      <w:r>
        <w:rPr>
          <w:rFonts w:hint="default" w:ascii="Times New Roman" w:hAnsi="Times New Roman" w:eastAsia="宋体" w:cs="Times New Roman"/>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Copper Cathode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copper cathode futures contract, the regular months are the period from the listing day of the contract to the last trading day of the second month prior to the delivery month; the nearby delivery months are the month prior to the delivery month and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w:t>
      </w:r>
      <w:r>
        <w:rPr>
          <w:rFonts w:hint="default" w:ascii="Times New Roman" w:hAnsi="Times New Roman" w:eastAsia="宋体" w:cs="Times New Roman"/>
          <w:b w:val="0"/>
          <w:bCs w:val="0"/>
          <w:color w:val="auto"/>
          <w:kern w:val="2"/>
          <w:sz w:val="28"/>
          <w:szCs w:val="28"/>
          <w:lang w:val="en-US" w:eastAsia="zh-CN" w:bidi="ar"/>
        </w:rPr>
        <w:t xml:space="preserve">or contract-specific hedging quota for regular months of a copper cathode futures contract shall be submitted between the listing day of the contract and the last trading day of the second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val="0"/>
          <w:bCs w:val="0"/>
          <w:color w:val="auto"/>
          <w:kern w:val="2"/>
          <w:sz w:val="28"/>
          <w:szCs w:val="28"/>
          <w:lang w:val="en-US" w:eastAsia="zh-CN" w:bidi="ar"/>
        </w:rPr>
        <w:t>An application for hedging quota for nearby delivery months of a copper cathode futures contract shall be submitted between the first trading day of the second</w:t>
      </w:r>
      <w:r>
        <w:rPr>
          <w:rFonts w:hint="default" w:ascii="Times New Roman" w:hAnsi="Times New Roman" w:eastAsia="宋体" w:cs="Times New Roman"/>
          <w:color w:val="C00000"/>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month prior to the delivery month of the contract and the last trading day of the month prior to the delivery month of the contract. An application for arbitrage quota for nearby delivery months of a copper cathode futures contract shall be submitted between the first trading day of the second month prior to the delivery month of the contract and the last trading day of the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copper cathode futures contract may be repeatedly used in the month prior to the delivery month, but cannot be repeatedly used from the first trading day of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11</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Containerized Freight Index (Europe Service)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79</w:t>
      </w:r>
      <w:r>
        <w:rPr>
          <w:rFonts w:hint="default" w:ascii="Times New Roman" w:hAnsi="Times New Roman" w:eastAsia="宋体" w:cs="Times New Roman"/>
          <w:b/>
          <w:bCs/>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containerized freight index (Europe Service) futures contract, the regular months are the period from the listing day of the contract to the eighth trading day before the last trading day; the nearby delivery months are the period from the seventh trading day before the last trading day to the last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fo</w:t>
      </w:r>
      <w:r>
        <w:rPr>
          <w:rFonts w:hint="default" w:ascii="Times New Roman" w:hAnsi="Times New Roman" w:eastAsia="宋体" w:cs="Times New Roman"/>
          <w:b w:val="0"/>
          <w:bCs w:val="0"/>
          <w:color w:val="auto"/>
          <w:kern w:val="2"/>
          <w:sz w:val="28"/>
          <w:szCs w:val="28"/>
          <w:lang w:val="en-US" w:eastAsia="zh-CN" w:bidi="ar"/>
        </w:rPr>
        <w:t xml:space="preserve">r contract-specific hedging quota for regular months of a containerized freight index (Europe service) futures contract shall be submitted between the listing day of the contract and the eighth trading day before the last trading day.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application for hedging quota and arbitrage quota for nearby delivery months of a containerized freight index (Europe Service) futures contract shall be submitted between the first trading day of the month before the delivery month of the contract and the fifth trading day before the last trading day.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hedging quota for nearby delivery months of a containerized freight index (Europe Service) futures contract may be repeatedly used between the seventh trading day before the last trading day and the third trading day before the last trading day, but cannot be repeatedly used from the second trading day before the last trading day.</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12</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Miscellaneous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following terms shall have the following definitions:</w:t>
      </w:r>
    </w:p>
    <w:p>
      <w:pPr>
        <w:pStyle w:val="9"/>
        <w:keepNext w:val="0"/>
        <w:keepLines w:val="0"/>
        <w:pageBreakBefore w:val="0"/>
        <w:widowControl w:val="0"/>
        <w:numPr>
          <w:ilvl w:val="0"/>
          <w:numId w:val="1"/>
        </w:numPr>
        <w:suppressLineNumbers w:val="0"/>
        <w:kinsoku/>
        <w:wordWrap/>
        <w:overflowPunct/>
        <w:topLinePunct w:val="0"/>
        <w:autoSpaceDE w:val="0"/>
        <w:autoSpaceDN w:val="0"/>
        <w:bidi w:val="0"/>
        <w:adjustRightInd w:val="0"/>
        <w:snapToGrid w:val="0"/>
        <w:spacing w:beforeAutospacing="0" w:afterAutospacing="0" w:line="560" w:lineRule="exact"/>
        <w:ind w:left="0" w:leftChars="0" w:right="0" w:firstLine="0" w:firstLineChars="0"/>
        <w:jc w:val="both"/>
        <w:textAlignment w:val="auto"/>
        <w:rPr>
          <w:rFonts w:hint="default" w:ascii="Times New Roman" w:hAnsi="Times New Roman" w:eastAsia="宋体" w:cs="Times New Roman"/>
          <w:kern w:val="2"/>
          <w:sz w:val="28"/>
          <w:szCs w:val="28"/>
        </w:rPr>
      </w:pPr>
      <w:r>
        <w:rPr>
          <w:rFonts w:hint="eastAsia" w:cs="Times New Roman"/>
          <w:kern w:val="2"/>
          <w:sz w:val="28"/>
          <w:szCs w:val="28"/>
          <w:lang w:val="en-US" w:eastAsia="zh-CN"/>
        </w:rPr>
        <w:t xml:space="preserve"> </w:t>
      </w:r>
      <w:r>
        <w:rPr>
          <w:rFonts w:hint="default" w:ascii="Times New Roman" w:hAnsi="Times New Roman" w:eastAsia="宋体" w:cs="Times New Roman"/>
          <w:kern w:val="2"/>
          <w:sz w:val="28"/>
          <w:szCs w:val="28"/>
        </w:rPr>
        <w:t>“remote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trading method by which Members and OSPs directly place trading orders for matching from their business premises through the telecommunication system connected to the Exchange’s computer trading system.</w:t>
      </w:r>
    </w:p>
    <w:p>
      <w:pPr>
        <w:keepNext w:val="0"/>
        <w:keepLines w:val="0"/>
        <w:pageBreakBefore w:val="0"/>
        <w:widowControl/>
        <w:suppressLineNumbers w:val="0"/>
        <w:kinsoku/>
        <w:wordWrap/>
        <w:overflowPunct/>
        <w:topLinePunct w:val="0"/>
        <w:bidi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2. </w:t>
      </w:r>
      <w:r>
        <w:rPr>
          <w:rFonts w:hint="eastAsia" w:ascii="Times New Roman" w:hAnsi="Times New Roman" w:cs="Times New Roman"/>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“program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trading method by which trading orders are automatically signaled or placed through established computerized trading models with the functions of market analysis, risk management, etc.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  “the first session of trading hours”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Day trading hours from 9:00 a.m. to 10:15 a.m. of the current trading day. If continuous trading hours of the listed products are adopted, the first session of trading hours refers to the period from the beginning of continuous trading hours of the previous trading day to 10:15 a.m. of the current trading day, unless otherwise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highest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highest transaction price among the transaction prices of a certain contract during a specified period of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lowest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lowest transaction price among the transaction prices of a certain contract during a specified period of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last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latest transaction price during the trading period of a certain contract of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“price 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difference between the last price of a trade on a contract of a trading day and the settlement price of the previous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8.</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highest bid”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current highest quote placed by a buyer for a contract during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9.</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lowest ask”</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current lowest quote placed by a seller for a contract during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10.</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“bid volume”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total of unfilled bids at the highest bid price remained in the Exchange’s trading system of a contract on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“ask volume”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total of unfilled asks at the lowest ask price remained in the Exchange’s trading system of a contract on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“trading volume”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volume of all filled orders on either long or short side of a certain contract of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w:t>
      </w:r>
      <w:r>
        <w:rPr>
          <w:rFonts w:hint="eastAsia" w:ascii="Times New Roman" w:hAnsi="Times New Roman" w:cs="Times New Roman"/>
          <w:color w:val="auto"/>
          <w:kern w:val="2"/>
          <w:sz w:val="28"/>
          <w:szCs w:val="28"/>
          <w:lang w:val="en-US" w:eastAsia="zh-CN" w:bidi="ar"/>
        </w:rPr>
        <w:t>p</w:t>
      </w:r>
      <w:r>
        <w:rPr>
          <w:rFonts w:hint="default" w:ascii="Times New Roman" w:hAnsi="Times New Roman" w:eastAsia="宋体" w:cs="Times New Roman"/>
          <w:color w:val="auto"/>
          <w:kern w:val="2"/>
          <w:sz w:val="28"/>
          <w:szCs w:val="28"/>
          <w:lang w:val="en-US" w:eastAsia="zh-CN" w:bidi="ar"/>
        </w:rPr>
        <w:t>en interest”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volume of open positions in either long or short trades.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“calendar spread arbitrage”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Arbitrage trading among different contracts of the same product.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“cross-product arbitrage”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Arbitrage trading among contracts of different products.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val="0"/>
          <w:color w:val="auto"/>
          <w:kern w:val="2"/>
          <w:sz w:val="28"/>
          <w:szCs w:val="28"/>
          <w:lang w:val="en-US" w:eastAsia="zh-CN" w:bidi="ar"/>
        </w:rPr>
        <w:t>Article 8</w:t>
      </w:r>
      <w:r>
        <w:rPr>
          <w:rFonts w:hint="eastAsia" w:ascii="Times New Roman" w:hAnsi="Times New Roman" w:eastAsia="宋体" w:cs="Times New Roman"/>
          <w:b/>
          <w:bCs w:val="0"/>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Where there are specific provisions in business rules regarding options trading prescribed by the Exchange, those provisions shall apply; to the extent of any matter regarding options trading not explicitly stipulated, these </w:t>
      </w:r>
      <w:r>
        <w:rPr>
          <w:rFonts w:hint="default" w:ascii="Times New Roman" w:hAnsi="Times New Roman" w:eastAsia="宋体" w:cs="Times New Roman"/>
          <w:iCs/>
          <w:color w:val="auto"/>
          <w:kern w:val="2"/>
          <w:sz w:val="28"/>
          <w:szCs w:val="28"/>
          <w:lang w:val="en-US" w:eastAsia="zh-CN" w:bidi="ar"/>
        </w:rPr>
        <w:t>rules</w:t>
      </w:r>
      <w:r>
        <w:rPr>
          <w:rFonts w:hint="default" w:ascii="Times New Roman" w:hAnsi="Times New Roman" w:eastAsia="宋体" w:cs="Times New Roman"/>
          <w:color w:val="auto"/>
          <w:kern w:val="2"/>
          <w:sz w:val="28"/>
          <w:szCs w:val="28"/>
          <w:lang w:val="en-US" w:eastAsia="zh-CN" w:bidi="ar"/>
        </w:rPr>
        <w:t xml:space="preserve"> shall apply. The terms such as “futures market” and “futures trading”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shall be deemed to include options business and related activities, unless otherwise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Violations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shall be subject to the sanctions provided in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The Exchange reserves the right to interpret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 xml:space="preserve"> </w:t>
      </w:r>
      <w:r>
        <w:rPr>
          <w:rFonts w:hint="default" w:ascii="Times New Roman" w:hAnsi="Times New Roman" w:cs="Times New Roman"/>
          <w:b w:val="0"/>
          <w:bCs w:val="0"/>
          <w:sz w:val="28"/>
          <w:szCs w:val="28"/>
          <w:vertAlign w:val="baseline"/>
        </w:rPr>
        <w:t>These Trading Rules take effect on</w:t>
      </w:r>
      <w:r>
        <w:rPr>
          <w:rFonts w:hint="eastAsia" w:ascii="Times New Roman" w:hAnsi="Times New Roman" w:cs="Times New Roman"/>
          <w:b w:val="0"/>
          <w:bCs w:val="0"/>
          <w:sz w:val="28"/>
          <w:szCs w:val="28"/>
          <w:vertAlign w:val="baseline"/>
          <w:lang w:val="en-US" w:eastAsia="zh-CN"/>
        </w:rPr>
        <w:t xml:space="preserve"> </w:t>
      </w:r>
      <w:r>
        <w:rPr>
          <w:rFonts w:hint="default" w:ascii="Times New Roman" w:hAnsi="Times New Roman" w:cs="Times New Roman"/>
          <w:b w:val="0"/>
          <w:bCs w:val="0"/>
          <w:sz w:val="28"/>
          <w:szCs w:val="28"/>
          <w:vertAlign w:val="baseline"/>
        </w:rPr>
        <w:t>September 14</w:t>
      </w:r>
      <w:r>
        <w:rPr>
          <w:rFonts w:hint="eastAsia" w:ascii="Times New Roman" w:hAnsi="Times New Roman" w:cs="Times New Roman"/>
          <w:b w:val="0"/>
          <w:bCs w:val="0"/>
          <w:sz w:val="28"/>
          <w:szCs w:val="28"/>
          <w:vertAlign w:val="baseline"/>
          <w:lang w:val="en-US" w:eastAsia="zh-CN"/>
        </w:rPr>
        <w:t xml:space="preserve">, </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2026</w:t>
      </w:r>
      <w:r>
        <w:rPr>
          <w:rFonts w:hint="default" w:ascii="Times New Roman" w:hAnsi="Times New Roman" w:eastAsia="宋体" w:cs="Times New Roman"/>
          <w:b w:val="0"/>
          <w:bCs w:val="0"/>
          <w:color w:val="000000" w:themeColor="text1"/>
          <w:kern w:val="2"/>
          <w:sz w:val="28"/>
          <w:szCs w:val="28"/>
          <w:lang w:val="en-US" w:eastAsia="zh-CN" w:bidi="ar"/>
          <w14:textFill>
            <w14:solidFill>
              <w14:schemeClr w14:val="tx1"/>
            </w14:solidFill>
          </w14:textFill>
        </w:rPr>
        <w:t>.</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5EFDFB"/>
    <w:multiLevelType w:val="singleLevel"/>
    <w:tmpl w:val="FB5EFDF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31F220C"/>
    <w:rsid w:val="A3F75062"/>
    <w:rsid w:val="B31F220C"/>
    <w:rsid w:val="BFBFE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tabs>
        <w:tab w:val="left" w:pos="1890"/>
      </w:tabs>
      <w:kinsoku w:val="0"/>
      <w:overflowPunct w:val="0"/>
      <w:autoSpaceDE w:val="0"/>
      <w:autoSpaceDN w:val="0"/>
      <w:adjustRightInd w:val="0"/>
      <w:snapToGrid w:val="0"/>
      <w:spacing w:after="312" w:afterLines="100" w:line="259" w:lineRule="auto"/>
      <w:jc w:val="center"/>
      <w:outlineLvl w:val="0"/>
    </w:pPr>
    <w:rPr>
      <w:rFonts w:ascii="Times New Roman" w:hAnsi="Times New Roman" w:eastAsia="宋体" w:cs="Times New Roman"/>
      <w:b/>
      <w:bCs/>
      <w:snapToGrid w:val="0"/>
      <w:kern w:val="22"/>
      <w:sz w:val="28"/>
      <w:szCs w:val="28"/>
    </w:rPr>
  </w:style>
  <w:style w:type="paragraph" w:styleId="3">
    <w:name w:val="heading 2"/>
    <w:basedOn w:val="1"/>
    <w:next w:val="1"/>
    <w:unhideWhenUsed/>
    <w:qFormat/>
    <w:uiPriority w:val="9"/>
    <w:pPr>
      <w:tabs>
        <w:tab w:val="left" w:pos="1890"/>
      </w:tabs>
      <w:kinsoku w:val="0"/>
      <w:overflowPunct w:val="0"/>
      <w:autoSpaceDE w:val="0"/>
      <w:autoSpaceDN w:val="0"/>
      <w:adjustRightInd w:val="0"/>
      <w:snapToGrid w:val="0"/>
      <w:spacing w:after="312" w:afterLines="100" w:line="259" w:lineRule="auto"/>
      <w:jc w:val="center"/>
      <w:outlineLvl w:val="1"/>
    </w:pPr>
    <w:rPr>
      <w:rFonts w:ascii="Times New Roman" w:hAnsi="Times New Roman" w:eastAsia="宋体" w:cs="Times New Roman"/>
      <w:b/>
      <w:bCs/>
      <w:snapToGrid w:val="0"/>
      <w:kern w:val="22"/>
      <w:sz w:val="24"/>
      <w:szCs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9">
    <w:name w:val="List Paragraph"/>
    <w:basedOn w:val="1"/>
    <w:qFormat/>
    <w:uiPriority w:val="0"/>
    <w:pPr>
      <w:spacing w:line="256" w:lineRule="auto"/>
      <w:ind w:left="720"/>
      <w:contextualSpacing/>
      <w:jc w:val="left"/>
    </w:pPr>
    <w:rPr>
      <w:rFonts w:hint="default" w:ascii="Times New Roman" w:hAnsi="Times New Roman" w:eastAsia="宋体" w:cs="Times New Roman"/>
      <w:kern w:val="2"/>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2026-08-18T06:31:00Z</dcterms:created>
  <dc:creator>ji.shuoren</dc:creator>
  <cp:lastModifiedBy>ji.shuoren</cp:lastModifiedBy>
  <cp:lastPrinted>2026-09-04T23:04:00Z</cp:lastPrinted>
  <dcterms:modified xsi:type="dcterms:W3CDTF">2026-09-11T16:36:04Z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FF1636B04EB5FD8CCFAA826ADD3ACD3A</vt:lpwstr>
  </property>
</Properties>
</file>