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24" w:rsidRDefault="001E4324" w:rsidP="001E4324">
      <w:pPr>
        <w:spacing w:line="640" w:lineRule="exact"/>
        <w:jc w:val="center"/>
        <w:rPr>
          <w:rFonts w:ascii="Times New Roman" w:eastAsia="方正仿宋简体" w:hAnsi="Times New Roman" w:cs="Times New Roman"/>
          <w:color w:val="000000" w:themeColor="text1"/>
          <w:sz w:val="24"/>
          <w:szCs w:val="24"/>
        </w:rPr>
      </w:pPr>
      <w:r w:rsidRPr="00FB34AF">
        <w:rPr>
          <w:rFonts w:ascii="Times New Roman" w:eastAsia="方正仿宋简体" w:hAnsi="Times New Roman" w:cs="Times New Roman"/>
          <w:b/>
          <w:bCs/>
          <w:color w:val="000000" w:themeColor="text1"/>
          <w:sz w:val="28"/>
          <w:szCs w:val="28"/>
        </w:rPr>
        <w:t>Designated Depository Banks of Shanghai</w:t>
      </w:r>
      <w:r>
        <w:rPr>
          <w:rFonts w:ascii="Times New Roman" w:eastAsia="方正仿宋简体" w:hAnsi="Times New Roman" w:cs="Times New Roman" w:hint="eastAsia"/>
          <w:b/>
          <w:bCs/>
          <w:color w:val="000000" w:themeColor="text1"/>
          <w:sz w:val="28"/>
          <w:szCs w:val="28"/>
        </w:rPr>
        <w:t xml:space="preserve"> International Energy Exchange</w:t>
      </w:r>
    </w:p>
    <w:p w:rsidR="001E4324" w:rsidRDefault="001E4324" w:rsidP="001E4324">
      <w:pPr>
        <w:spacing w:line="640" w:lineRule="exact"/>
        <w:rPr>
          <w:rFonts w:ascii="Times New Roman" w:eastAsia="方正仿宋简体" w:hAnsi="Times New Roman" w:cs="Times New Roman"/>
          <w:color w:val="000000" w:themeColor="text1"/>
          <w:sz w:val="24"/>
          <w:szCs w:val="24"/>
        </w:rPr>
      </w:pPr>
    </w:p>
    <w:tbl>
      <w:tblPr>
        <w:tblW w:w="9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995"/>
        <w:gridCol w:w="1737"/>
        <w:gridCol w:w="1249"/>
        <w:gridCol w:w="1210"/>
        <w:gridCol w:w="1172"/>
        <w:gridCol w:w="673"/>
      </w:tblGrid>
      <w:tr w:rsidR="001E4324" w:rsidRPr="00E854F3" w:rsidTr="007C4E6A">
        <w:trPr>
          <w:trHeight w:val="1242"/>
          <w:tblHeader/>
        </w:trPr>
        <w:tc>
          <w:tcPr>
            <w:tcW w:w="1182" w:type="dxa"/>
            <w:shd w:val="clear" w:color="000000" w:fill="F2F2F2"/>
            <w:vAlign w:val="center"/>
            <w:hideMark/>
          </w:tcPr>
          <w:p w:rsidR="001E4324" w:rsidRPr="00E854F3" w:rsidRDefault="001E4324" w:rsidP="007C4E6A">
            <w:pPr>
              <w:widowControl/>
              <w:spacing w:line="360" w:lineRule="exact"/>
              <w:jc w:val="left"/>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Bank</w:t>
            </w:r>
          </w:p>
        </w:tc>
        <w:tc>
          <w:tcPr>
            <w:tcW w:w="1995" w:type="dxa"/>
            <w:shd w:val="clear" w:color="000000" w:fill="F2F2F2"/>
            <w:vAlign w:val="center"/>
            <w:hideMark/>
          </w:tcPr>
          <w:p w:rsidR="001E4324" w:rsidRPr="00E854F3" w:rsidRDefault="001E4324" w:rsidP="007C4E6A">
            <w:pPr>
              <w:widowControl/>
              <w:spacing w:line="360" w:lineRule="exact"/>
              <w:jc w:val="left"/>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Designated Branch</w:t>
            </w:r>
          </w:p>
        </w:tc>
        <w:tc>
          <w:tcPr>
            <w:tcW w:w="1737" w:type="dxa"/>
            <w:shd w:val="clear" w:color="000000" w:fill="F2F2F2"/>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Address</w:t>
            </w:r>
          </w:p>
        </w:tc>
        <w:tc>
          <w:tcPr>
            <w:tcW w:w="1249" w:type="dxa"/>
            <w:shd w:val="clear" w:color="000000" w:fill="F2F2F2"/>
            <w:vAlign w:val="center"/>
            <w:hideMark/>
          </w:tcPr>
          <w:p w:rsidR="001E4324"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Tel</w:t>
            </w:r>
          </w:p>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 xml:space="preserve"> (+86 21)</w:t>
            </w:r>
          </w:p>
        </w:tc>
        <w:tc>
          <w:tcPr>
            <w:tcW w:w="1210" w:type="dxa"/>
            <w:shd w:val="clear" w:color="000000" w:fill="F2F2F2"/>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For Domestic clients (incl. QFI)</w:t>
            </w:r>
          </w:p>
        </w:tc>
        <w:tc>
          <w:tcPr>
            <w:tcW w:w="1172" w:type="dxa"/>
            <w:shd w:val="clear" w:color="000000" w:fill="F2F2F2"/>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For Overseas clients</w:t>
            </w:r>
          </w:p>
        </w:tc>
        <w:tc>
          <w:tcPr>
            <w:tcW w:w="673" w:type="dxa"/>
            <w:shd w:val="clear" w:color="000000" w:fill="F2F2F2"/>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Cs w:val="21"/>
              </w:rPr>
            </w:pPr>
            <w:r w:rsidRPr="00E854F3">
              <w:rPr>
                <w:rFonts w:ascii="Times New Roman" w:eastAsia="Microsoft YaHei UI" w:hAnsi="Times New Roman" w:cs="Times New Roman"/>
                <w:b/>
                <w:bCs/>
                <w:color w:val="000000"/>
                <w:kern w:val="0"/>
                <w:szCs w:val="21"/>
              </w:rPr>
              <w:t>For QFI only</w:t>
            </w:r>
          </w:p>
        </w:tc>
      </w:tr>
      <w:tr w:rsidR="001E4324" w:rsidRPr="00E854F3" w:rsidTr="007C4E6A">
        <w:trPr>
          <w:trHeight w:val="685"/>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4"/>
                <w:szCs w:val="24"/>
              </w:rPr>
            </w:pPr>
            <w:r w:rsidRPr="00E854F3">
              <w:rPr>
                <w:rFonts w:ascii="Times New Roman" w:eastAsia="Microsoft YaHei UI" w:hAnsi="Times New Roman" w:cs="Times New Roman"/>
                <w:b/>
                <w:bCs/>
                <w:color w:val="000000"/>
                <w:kern w:val="0"/>
                <w:sz w:val="24"/>
                <w:szCs w:val="24"/>
              </w:rPr>
              <w:t>ICBC</w:t>
            </w:r>
          </w:p>
        </w:tc>
        <w:tc>
          <w:tcPr>
            <w:tcW w:w="1995" w:type="dxa"/>
            <w:shd w:val="clear" w:color="auto" w:fill="auto"/>
            <w:vAlign w:val="center"/>
            <w:hideMark/>
          </w:tcPr>
          <w:p w:rsidR="001E4324"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 xml:space="preserve">Industrial &amp; Commercial Bank of China </w:t>
            </w:r>
          </w:p>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Tower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500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68401031</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bookmarkStart w:id="0" w:name="_GoBack"/>
            <w:bookmarkEnd w:id="0"/>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1733"/>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4"/>
                <w:szCs w:val="24"/>
              </w:rPr>
            </w:pPr>
            <w:r w:rsidRPr="00E854F3">
              <w:rPr>
                <w:rFonts w:ascii="Times New Roman" w:eastAsia="Microsoft YaHei UI" w:hAnsi="Times New Roman" w:cs="Times New Roman"/>
                <w:b/>
                <w:bCs/>
                <w:color w:val="000000"/>
                <w:kern w:val="0"/>
                <w:sz w:val="24"/>
                <w:szCs w:val="24"/>
              </w:rPr>
              <w:t>ABC</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Agricultural Bank of China</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Tower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No.300 Song Lin Road Pudong New Area Shanghai P.R.China</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68400986</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585"/>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4"/>
                <w:szCs w:val="24"/>
              </w:rPr>
            </w:pPr>
            <w:r w:rsidRPr="00E854F3">
              <w:rPr>
                <w:rFonts w:ascii="Times New Roman" w:eastAsia="Microsoft YaHei UI" w:hAnsi="Times New Roman" w:cs="Times New Roman"/>
                <w:b/>
                <w:bCs/>
                <w:color w:val="000000"/>
                <w:kern w:val="0"/>
                <w:sz w:val="24"/>
                <w:szCs w:val="24"/>
              </w:rPr>
              <w:t>BOC</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Bank of China</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Tower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2/F, 500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68402759</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1610"/>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4"/>
                <w:szCs w:val="24"/>
              </w:rPr>
            </w:pPr>
            <w:r w:rsidRPr="00E854F3">
              <w:rPr>
                <w:rFonts w:ascii="Times New Roman" w:eastAsia="Microsoft YaHei UI" w:hAnsi="Times New Roman" w:cs="Times New Roman"/>
                <w:b/>
                <w:bCs/>
                <w:color w:val="000000"/>
                <w:kern w:val="0"/>
                <w:sz w:val="24"/>
                <w:szCs w:val="24"/>
              </w:rPr>
              <w:t>CCB</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China Construction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Tower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5</w:t>
            </w:r>
            <w:r>
              <w:rPr>
                <w:rFonts w:ascii="Times New Roman" w:eastAsia="Microsoft YaHei UI" w:hAnsi="Times New Roman" w:cs="Times New Roman" w:hint="eastAsia"/>
                <w:color w:val="000000"/>
                <w:kern w:val="0"/>
                <w:sz w:val="22"/>
              </w:rPr>
              <w:t>00</w:t>
            </w:r>
            <w:r w:rsidRPr="00E854F3">
              <w:rPr>
                <w:rFonts w:ascii="Times New Roman" w:eastAsia="Microsoft YaHei UI" w:hAnsi="Times New Roman" w:cs="Times New Roman"/>
                <w:color w:val="000000"/>
                <w:kern w:val="0"/>
                <w:sz w:val="22"/>
              </w:rPr>
              <w:t xml:space="preserve">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68401042</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451"/>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4"/>
                <w:szCs w:val="24"/>
              </w:rPr>
            </w:pPr>
            <w:r w:rsidRPr="00E854F3">
              <w:rPr>
                <w:rFonts w:ascii="Times New Roman" w:eastAsia="Microsoft YaHei UI" w:hAnsi="Times New Roman" w:cs="Times New Roman"/>
                <w:b/>
                <w:bCs/>
                <w:color w:val="000000"/>
                <w:kern w:val="0"/>
                <w:sz w:val="24"/>
                <w:szCs w:val="24"/>
              </w:rPr>
              <w:t>BOCOM</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Bank of Communications</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Tower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2C174D">
              <w:rPr>
                <w:rFonts w:ascii="Times New Roman" w:eastAsia="Arial Unicode MS" w:hAnsi="Times New Roman" w:cs="Times New Roman"/>
                <w:color w:val="000000" w:themeColor="text1"/>
                <w:kern w:val="0"/>
                <w:szCs w:val="21"/>
              </w:rPr>
              <w:t>1/F, 500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68401029</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2010"/>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CMB</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China Merchants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Century Avenue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4D5889">
              <w:rPr>
                <w:rFonts w:ascii="Times New Roman" w:eastAsia="Microsoft YaHei UI" w:hAnsi="Times New Roman" w:cs="Times New Roman"/>
                <w:color w:val="000000"/>
                <w:kern w:val="0"/>
                <w:sz w:val="22"/>
              </w:rPr>
              <w:t xml:space="preserve">1/F, Chamtime International Financial Center, 1589 Century Avenue, Shanghai </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58449005</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1483"/>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lastRenderedPageBreak/>
              <w:t>CITIC</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China Citic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Pudian Road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Double Dove Tower, 438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50192136</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54"/>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SPDB</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SPD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Exchange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Unit 02A, 1/F, 577 Pudian Road, Shanghai</w:t>
            </w:r>
          </w:p>
        </w:tc>
        <w:tc>
          <w:tcPr>
            <w:tcW w:w="1249" w:type="dxa"/>
            <w:shd w:val="clear" w:color="auto" w:fill="auto"/>
            <w:vAlign w:val="center"/>
            <w:hideMark/>
          </w:tcPr>
          <w:p w:rsidR="001E4324"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50495392</w:t>
            </w:r>
          </w:p>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C15E3D">
              <w:rPr>
                <w:rFonts w:ascii="Times New Roman" w:eastAsia="Microsoft YaHei UI" w:hAnsi="Times New Roman" w:cs="Times New Roman"/>
                <w:color w:val="000000"/>
                <w:kern w:val="0"/>
                <w:sz w:val="22"/>
              </w:rPr>
              <w:t>50495573</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822"/>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CIB</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Industrial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Exchange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Pr>
                <w:rFonts w:ascii="Times New Roman" w:eastAsia="Microsoft YaHei UI" w:hAnsi="Times New Roman" w:cs="Times New Roman" w:hint="eastAsia"/>
                <w:color w:val="000000"/>
                <w:kern w:val="0"/>
                <w:sz w:val="22"/>
              </w:rPr>
              <w:t xml:space="preserve">1F, </w:t>
            </w:r>
            <w:r w:rsidRPr="00E854F3">
              <w:rPr>
                <w:rFonts w:ascii="Times New Roman" w:eastAsia="Microsoft YaHei UI" w:hAnsi="Times New Roman" w:cs="Times New Roman"/>
                <w:color w:val="000000"/>
                <w:kern w:val="0"/>
                <w:sz w:val="22"/>
              </w:rPr>
              <w:t>China Diamond Exchange Center Bldg,555 Pudian Roa</w:t>
            </w:r>
            <w:r>
              <w:rPr>
                <w:rFonts w:ascii="Times New Roman" w:eastAsia="Microsoft YaHei UI" w:hAnsi="Times New Roman" w:cs="Times New Roman" w:hint="eastAsia"/>
                <w:color w:val="000000"/>
                <w:kern w:val="0"/>
                <w:sz w:val="22"/>
              </w:rPr>
              <w:t>d</w:t>
            </w:r>
            <w:r w:rsidRPr="00E854F3">
              <w:rPr>
                <w:rFonts w:ascii="Times New Roman" w:eastAsia="Microsoft YaHei UI" w:hAnsi="Times New Roman" w:cs="Times New Roman"/>
                <w:color w:val="000000"/>
                <w:kern w:val="0"/>
                <w:sz w:val="22"/>
              </w:rPr>
              <w:t>,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50151450</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342"/>
        </w:trPr>
        <w:tc>
          <w:tcPr>
            <w:tcW w:w="1182" w:type="dxa"/>
            <w:vMerge w:val="restart"/>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CEB</w:t>
            </w:r>
          </w:p>
        </w:tc>
        <w:tc>
          <w:tcPr>
            <w:tcW w:w="1995" w:type="dxa"/>
            <w:vMerge w:val="restart"/>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China Everbright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Exchange Sub-branch</w:t>
            </w:r>
          </w:p>
        </w:tc>
        <w:tc>
          <w:tcPr>
            <w:tcW w:w="1737" w:type="dxa"/>
            <w:vMerge w:val="restart"/>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Chamtime International Financial Center, 1589 Century Avenue,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63797986</w:t>
            </w:r>
          </w:p>
        </w:tc>
        <w:tc>
          <w:tcPr>
            <w:tcW w:w="1210" w:type="dxa"/>
            <w:vMerge w:val="restart"/>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vMerge w:val="restart"/>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vMerge w:val="restart"/>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342"/>
        </w:trPr>
        <w:tc>
          <w:tcPr>
            <w:tcW w:w="1182" w:type="dxa"/>
            <w:vMerge/>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p>
        </w:tc>
        <w:tc>
          <w:tcPr>
            <w:tcW w:w="1995" w:type="dxa"/>
            <w:vMerge/>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p>
        </w:tc>
        <w:tc>
          <w:tcPr>
            <w:tcW w:w="1737" w:type="dxa"/>
            <w:vMerge/>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63797982</w:t>
            </w:r>
          </w:p>
        </w:tc>
        <w:tc>
          <w:tcPr>
            <w:tcW w:w="1210" w:type="dxa"/>
            <w:vMerge/>
            <w:vAlign w:val="center"/>
            <w:hideMark/>
          </w:tcPr>
          <w:p w:rsidR="001E4324" w:rsidRPr="00E854F3" w:rsidRDefault="001E4324" w:rsidP="007C4E6A">
            <w:pPr>
              <w:widowControl/>
              <w:spacing w:line="360" w:lineRule="exact"/>
              <w:jc w:val="left"/>
              <w:rPr>
                <w:rFonts w:ascii="Times New Roman" w:eastAsia="华文细黑" w:hAnsi="Times New Roman" w:cs="Times New Roman"/>
                <w:b/>
                <w:bCs/>
                <w:color w:val="000000"/>
                <w:kern w:val="0"/>
                <w:sz w:val="24"/>
                <w:szCs w:val="24"/>
              </w:rPr>
            </w:pPr>
          </w:p>
        </w:tc>
        <w:tc>
          <w:tcPr>
            <w:tcW w:w="1172" w:type="dxa"/>
            <w:vMerge/>
            <w:vAlign w:val="center"/>
            <w:hideMark/>
          </w:tcPr>
          <w:p w:rsidR="001E4324" w:rsidRPr="00E854F3" w:rsidRDefault="001E4324" w:rsidP="007C4E6A">
            <w:pPr>
              <w:widowControl/>
              <w:spacing w:line="360" w:lineRule="exact"/>
              <w:jc w:val="left"/>
              <w:rPr>
                <w:rFonts w:ascii="Times New Roman" w:eastAsia="华文细黑" w:hAnsi="Times New Roman" w:cs="Times New Roman"/>
                <w:b/>
                <w:bCs/>
                <w:color w:val="000000"/>
                <w:kern w:val="0"/>
                <w:sz w:val="24"/>
                <w:szCs w:val="24"/>
              </w:rPr>
            </w:pPr>
          </w:p>
        </w:tc>
        <w:tc>
          <w:tcPr>
            <w:tcW w:w="673" w:type="dxa"/>
            <w:vMerge/>
            <w:vAlign w:val="center"/>
            <w:hideMark/>
          </w:tcPr>
          <w:p w:rsidR="001E4324" w:rsidRPr="00E854F3" w:rsidRDefault="001E4324" w:rsidP="007C4E6A">
            <w:pPr>
              <w:widowControl/>
              <w:spacing w:line="360" w:lineRule="exact"/>
              <w:jc w:val="left"/>
              <w:rPr>
                <w:rFonts w:ascii="Times New Roman" w:eastAsia="华文细黑" w:hAnsi="Times New Roman" w:cs="Times New Roman"/>
                <w:b/>
                <w:bCs/>
                <w:color w:val="000000"/>
                <w:kern w:val="0"/>
                <w:sz w:val="24"/>
                <w:szCs w:val="24"/>
              </w:rPr>
            </w:pPr>
          </w:p>
        </w:tc>
      </w:tr>
      <w:tr w:rsidR="001E4324" w:rsidRPr="00E854F3" w:rsidTr="007C4E6A">
        <w:trPr>
          <w:trHeight w:val="1699"/>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CMBC</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China Minsheng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Exchange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PingAn FortuneTower, 577 Pudian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50125289</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1246"/>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PingAn</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Ping An Bank</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Futures Exchange Sub-branch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1/F, SOHO Century Plaza, 288 Xiangcheng Road,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58666527</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 xml:space="preserve">　</w:t>
            </w:r>
          </w:p>
        </w:tc>
      </w:tr>
      <w:tr w:rsidR="001E4324" w:rsidRPr="00E854F3" w:rsidTr="007C4E6A">
        <w:trPr>
          <w:trHeight w:val="1210"/>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t>DBS</w:t>
            </w:r>
          </w:p>
        </w:tc>
        <w:tc>
          <w:tcPr>
            <w:tcW w:w="1995"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DBS Bank (China) Limited</w:t>
            </w:r>
          </w:p>
          <w:p w:rsidR="001E4324" w:rsidRPr="00E854F3" w:rsidRDefault="001E4324" w:rsidP="007C4E6A">
            <w:pPr>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Shanghai Branch</w:t>
            </w:r>
          </w:p>
        </w:tc>
        <w:tc>
          <w:tcPr>
            <w:tcW w:w="1737" w:type="dxa"/>
            <w:shd w:val="clear" w:color="auto" w:fill="auto"/>
            <w:vAlign w:val="center"/>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16F, No. 1318 Lu Jia Zui Ring Road, Pudong New Area,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38968153</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ED509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r>
      <w:tr w:rsidR="001E4324" w:rsidRPr="00E854F3" w:rsidTr="007C4E6A">
        <w:trPr>
          <w:trHeight w:val="54"/>
        </w:trPr>
        <w:tc>
          <w:tcPr>
            <w:tcW w:w="1182"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b/>
                <w:bCs/>
                <w:color w:val="000000"/>
                <w:kern w:val="0"/>
                <w:sz w:val="22"/>
              </w:rPr>
            </w:pPr>
            <w:r w:rsidRPr="00E854F3">
              <w:rPr>
                <w:rFonts w:ascii="Times New Roman" w:eastAsia="Microsoft YaHei UI" w:hAnsi="Times New Roman" w:cs="Times New Roman"/>
                <w:b/>
                <w:bCs/>
                <w:color w:val="000000"/>
                <w:kern w:val="0"/>
                <w:sz w:val="22"/>
              </w:rPr>
              <w:lastRenderedPageBreak/>
              <w:t>Citibank</w:t>
            </w:r>
          </w:p>
        </w:tc>
        <w:tc>
          <w:tcPr>
            <w:tcW w:w="1995" w:type="dxa"/>
            <w:shd w:val="clear" w:color="auto" w:fill="auto"/>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Citibank (China) Co., Ltd.</w:t>
            </w:r>
          </w:p>
        </w:tc>
        <w:tc>
          <w:tcPr>
            <w:tcW w:w="1737" w:type="dxa"/>
            <w:shd w:val="clear" w:color="auto" w:fill="auto"/>
            <w:hideMark/>
          </w:tcPr>
          <w:p w:rsidR="001E4324" w:rsidRPr="00E854F3" w:rsidRDefault="001E4324" w:rsidP="007C4E6A">
            <w:pPr>
              <w:widowControl/>
              <w:spacing w:line="360" w:lineRule="exact"/>
              <w:jc w:val="left"/>
              <w:rPr>
                <w:rFonts w:ascii="Times New Roman" w:eastAsia="Microsoft YaHei UI" w:hAnsi="Times New Roman" w:cs="Times New Roman"/>
                <w:color w:val="000000"/>
                <w:kern w:val="0"/>
                <w:sz w:val="22"/>
              </w:rPr>
            </w:pPr>
            <w:r w:rsidRPr="00857763">
              <w:rPr>
                <w:rFonts w:ascii="Times New Roman" w:hAnsi="Times New Roman" w:cs="Times New Roman"/>
                <w:color w:val="000000" w:themeColor="text1"/>
              </w:rPr>
              <w:t>33</w:t>
            </w:r>
            <w:r w:rsidRPr="00E854F3">
              <w:rPr>
                <w:rFonts w:ascii="Times New Roman" w:hAnsi="Times New Roman" w:cs="Times New Roman"/>
              </w:rPr>
              <w:t>F Citigroup Tower, No 33 Hua Yuan Shi Qiao Road, Lu Jia Zui Finance and Trade Zone, Shanghai</w:t>
            </w:r>
          </w:p>
        </w:tc>
        <w:tc>
          <w:tcPr>
            <w:tcW w:w="1249" w:type="dxa"/>
            <w:shd w:val="clear" w:color="auto" w:fill="auto"/>
            <w:vAlign w:val="center"/>
            <w:hideMark/>
          </w:tcPr>
          <w:p w:rsidR="001E4324" w:rsidRPr="00E854F3" w:rsidRDefault="001E4324" w:rsidP="007C4E6A">
            <w:pPr>
              <w:widowControl/>
              <w:spacing w:line="360" w:lineRule="exact"/>
              <w:jc w:val="center"/>
              <w:rPr>
                <w:rFonts w:ascii="Times New Roman" w:eastAsia="Microsoft YaHei UI" w:hAnsi="Times New Roman" w:cs="Times New Roman"/>
                <w:color w:val="000000"/>
                <w:kern w:val="0"/>
                <w:sz w:val="22"/>
              </w:rPr>
            </w:pPr>
            <w:r w:rsidRPr="00E854F3">
              <w:rPr>
                <w:rFonts w:ascii="Times New Roman" w:eastAsia="Microsoft YaHei UI" w:hAnsi="Times New Roman" w:cs="Times New Roman"/>
                <w:color w:val="000000"/>
                <w:kern w:val="0"/>
                <w:sz w:val="22"/>
              </w:rPr>
              <w:t>28963525</w:t>
            </w:r>
          </w:p>
        </w:tc>
        <w:tc>
          <w:tcPr>
            <w:tcW w:w="1210"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1172"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c>
          <w:tcPr>
            <w:tcW w:w="673" w:type="dxa"/>
            <w:shd w:val="clear" w:color="auto" w:fill="auto"/>
            <w:vAlign w:val="center"/>
            <w:hideMark/>
          </w:tcPr>
          <w:p w:rsidR="001E4324" w:rsidRPr="00E854F3" w:rsidRDefault="001E4324" w:rsidP="007C4E6A">
            <w:pPr>
              <w:widowControl/>
              <w:spacing w:line="360" w:lineRule="exact"/>
              <w:jc w:val="center"/>
              <w:rPr>
                <w:rFonts w:ascii="Times New Roman" w:eastAsia="华文细黑" w:hAnsi="Times New Roman" w:cs="Times New Roman"/>
                <w:b/>
                <w:bCs/>
                <w:color w:val="000000"/>
                <w:kern w:val="0"/>
                <w:sz w:val="24"/>
                <w:szCs w:val="24"/>
              </w:rPr>
            </w:pPr>
            <w:r w:rsidRPr="00E854F3">
              <w:rPr>
                <w:rFonts w:ascii="Times New Roman" w:eastAsia="华文细黑" w:hAnsi="Times New Roman" w:cs="Times New Roman"/>
                <w:b/>
                <w:bCs/>
                <w:color w:val="000000"/>
                <w:kern w:val="0"/>
                <w:sz w:val="24"/>
                <w:szCs w:val="24"/>
              </w:rPr>
              <w:t>√</w:t>
            </w:r>
          </w:p>
        </w:tc>
      </w:tr>
    </w:tbl>
    <w:p w:rsidR="009A0E51" w:rsidRPr="009A0E51" w:rsidRDefault="009A0E51" w:rsidP="009A0E51">
      <w:pPr>
        <w:spacing w:line="276" w:lineRule="auto"/>
        <w:rPr>
          <w:rFonts w:ascii="Times New Roman" w:eastAsia="方正仿宋简体" w:hAnsi="Times New Roman" w:cs="Times New Roman"/>
          <w:color w:val="000000" w:themeColor="text1"/>
          <w:sz w:val="22"/>
          <w:szCs w:val="24"/>
        </w:rPr>
      </w:pPr>
      <w:r w:rsidRPr="009A0E51">
        <w:rPr>
          <w:rFonts w:ascii="Times New Roman" w:eastAsia="方正仿宋简体" w:hAnsi="Times New Roman" w:cs="Times New Roman"/>
          <w:color w:val="000000" w:themeColor="text1"/>
          <w:sz w:val="22"/>
          <w:szCs w:val="24"/>
        </w:rPr>
        <w:t>Note</w:t>
      </w:r>
      <w:r w:rsidRPr="009A0E51">
        <w:rPr>
          <w:rFonts w:ascii="Times New Roman" w:eastAsia="方正仿宋简体" w:hAnsi="Times New Roman" w:cs="Times New Roman"/>
          <w:color w:val="000000" w:themeColor="text1"/>
          <w:sz w:val="22"/>
          <w:szCs w:val="24"/>
        </w:rPr>
        <w:tab/>
        <w:t>1)</w:t>
      </w:r>
      <w:r w:rsidRPr="009A0E51">
        <w:rPr>
          <w:rFonts w:ascii="Times New Roman" w:eastAsia="方正仿宋简体" w:hAnsi="Times New Roman" w:cs="Times New Roman"/>
          <w:color w:val="000000" w:themeColor="text1"/>
          <w:sz w:val="22"/>
          <w:szCs w:val="24"/>
        </w:rPr>
        <w:tab/>
        <w:t>In accordance with the Designated Depository Banks Management Rules of Shanghai International Energy Exchange, the futures margin depository business with INE is classified into margin depository business for domestic Clients and margin depository business for overseas Clients.  Margin depository business for domestic Clients refers to the margin depository business related to Members and their domestic Clients, while margin depository business for overseas Clients refers to the margin depository business related to Overseas Special Participants, Overseas Intermediaries and overseas Clients.</w:t>
      </w:r>
    </w:p>
    <w:p w:rsidR="001E4324" w:rsidRPr="009A0E51" w:rsidRDefault="009A0E51" w:rsidP="009A0E51">
      <w:pPr>
        <w:spacing w:line="276" w:lineRule="auto"/>
        <w:rPr>
          <w:rFonts w:ascii="Times New Roman" w:eastAsia="方正仿宋简体" w:hAnsi="Times New Roman" w:cs="Times New Roman"/>
          <w:color w:val="000000" w:themeColor="text1"/>
          <w:sz w:val="22"/>
          <w:szCs w:val="24"/>
        </w:rPr>
      </w:pPr>
      <w:r w:rsidRPr="009A0E51">
        <w:rPr>
          <w:rFonts w:ascii="Times New Roman" w:eastAsia="方正仿宋简体" w:hAnsi="Times New Roman" w:cs="Times New Roman"/>
          <w:color w:val="000000" w:themeColor="text1"/>
          <w:sz w:val="22"/>
          <w:szCs w:val="24"/>
        </w:rPr>
        <w:tab/>
        <w:t>2)</w:t>
      </w:r>
      <w:r w:rsidRPr="009A0E51">
        <w:rPr>
          <w:rFonts w:ascii="Times New Roman" w:eastAsia="方正仿宋简体" w:hAnsi="Times New Roman" w:cs="Times New Roman"/>
          <w:color w:val="000000" w:themeColor="text1"/>
          <w:sz w:val="22"/>
          <w:szCs w:val="24"/>
        </w:rPr>
        <w:tab/>
        <w:t>A Futures Firm Member opening a dedicated margin account in USD with a designated depository bank for overseas Clients shall open a corresponding dedicated margin account in RMB at the same branch or sub-branch.</w:t>
      </w:r>
    </w:p>
    <w:p w:rsidR="001E4324" w:rsidRDefault="001E4324" w:rsidP="001E4324"/>
    <w:p w:rsidR="001E4324" w:rsidRPr="00E40885" w:rsidRDefault="001E4324" w:rsidP="001E4324"/>
    <w:p w:rsidR="00CC3A09" w:rsidRPr="001E4324" w:rsidRDefault="00CC3A09"/>
    <w:sectPr w:rsidR="00CC3A09" w:rsidRPr="001E4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A0" w:rsidRDefault="009C40A0" w:rsidP="009A0E51">
      <w:r>
        <w:separator/>
      </w:r>
    </w:p>
  </w:endnote>
  <w:endnote w:type="continuationSeparator" w:id="0">
    <w:p w:rsidR="009C40A0" w:rsidRDefault="009C40A0" w:rsidP="009A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A0" w:rsidRDefault="009C40A0" w:rsidP="009A0E51">
      <w:r>
        <w:separator/>
      </w:r>
    </w:p>
  </w:footnote>
  <w:footnote w:type="continuationSeparator" w:id="0">
    <w:p w:rsidR="009C40A0" w:rsidRDefault="009C40A0" w:rsidP="009A0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24"/>
    <w:rsid w:val="00175988"/>
    <w:rsid w:val="0018019B"/>
    <w:rsid w:val="001E4324"/>
    <w:rsid w:val="007A36B7"/>
    <w:rsid w:val="00971BB4"/>
    <w:rsid w:val="009A0E51"/>
    <w:rsid w:val="009C40A0"/>
    <w:rsid w:val="00CC3A09"/>
    <w:rsid w:val="00ED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10B05C-9C12-4C62-8CE9-8C499AC8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0E51"/>
    <w:rPr>
      <w:sz w:val="18"/>
      <w:szCs w:val="18"/>
    </w:rPr>
  </w:style>
  <w:style w:type="paragraph" w:styleId="a4">
    <w:name w:val="footer"/>
    <w:basedOn w:val="a"/>
    <w:link w:val="Char0"/>
    <w:uiPriority w:val="99"/>
    <w:unhideWhenUsed/>
    <w:rsid w:val="009A0E51"/>
    <w:pPr>
      <w:tabs>
        <w:tab w:val="center" w:pos="4153"/>
        <w:tab w:val="right" w:pos="8306"/>
      </w:tabs>
      <w:snapToGrid w:val="0"/>
      <w:jc w:val="left"/>
    </w:pPr>
    <w:rPr>
      <w:sz w:val="18"/>
      <w:szCs w:val="18"/>
    </w:rPr>
  </w:style>
  <w:style w:type="character" w:customStyle="1" w:styleId="Char0">
    <w:name w:val="页脚 Char"/>
    <w:basedOn w:val="a0"/>
    <w:link w:val="a4"/>
    <w:uiPriority w:val="99"/>
    <w:rsid w:val="009A0E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2352</Characters>
  <Application>Microsoft Office Word</Application>
  <DocSecurity>0</DocSecurity>
  <Lines>219</Lines>
  <Paragraphs>106</Paragraphs>
  <ScaleCrop>false</ScaleCrop>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徐玥</dc:creator>
  <cp:keywords/>
  <dc:description/>
  <cp:lastModifiedBy>江肖霖</cp:lastModifiedBy>
  <cp:revision>4</cp:revision>
  <dcterms:created xsi:type="dcterms:W3CDTF">2025-04-22T07:42:00Z</dcterms:created>
  <dcterms:modified xsi:type="dcterms:W3CDTF">2025-04-22T07:43:00Z</dcterms:modified>
</cp:coreProperties>
</file>