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大标宋简体" w:cs="Times New Roman"/>
          <w:sz w:val="42"/>
          <w:szCs w:val="42"/>
        </w:rPr>
      </w:pPr>
      <w:r>
        <w:rPr>
          <w:rFonts w:ascii="Times New Roman" w:hAnsi="Times New Roman" w:eastAsia="方正大标宋简体" w:cs="Times New Roman"/>
          <w:sz w:val="42"/>
          <w:szCs w:val="42"/>
        </w:rPr>
        <w:t>附件1</w:t>
      </w:r>
    </w:p>
    <w:p>
      <w:pPr>
        <w:spacing w:line="560" w:lineRule="exact"/>
        <w:jc w:val="center"/>
        <w:rPr>
          <w:rFonts w:ascii="Times New Roman" w:hAnsi="Times New Roman" w:eastAsia="方正大标宋简体" w:cs="Times New Roman"/>
          <w:sz w:val="42"/>
          <w:szCs w:val="42"/>
        </w:rPr>
      </w:pPr>
      <w:r>
        <w:rPr>
          <w:rFonts w:ascii="Times New Roman" w:hAnsi="Times New Roman" w:eastAsia="方正大标宋简体" w:cs="Times New Roman"/>
          <w:sz w:val="42"/>
          <w:szCs w:val="42"/>
        </w:rPr>
        <w:t>修订对照表</w:t>
      </w:r>
    </w:p>
    <w:p>
      <w:pPr>
        <w:ind w:firstLine="280" w:firstLineChars="100"/>
        <w:rPr>
          <w:rFonts w:ascii="Times New Roman" w:hAnsi="Times New Roman" w:eastAsia="方正楷体简体" w:cs="Times New Roman"/>
          <w:sz w:val="28"/>
          <w:szCs w:val="28"/>
        </w:rPr>
      </w:pPr>
      <w:r>
        <w:rPr>
          <w:rFonts w:ascii="Times New Roman" w:hAnsi="Times New Roman" w:eastAsia="方正楷体简体" w:cs="Times New Roman"/>
          <w:sz w:val="28"/>
          <w:szCs w:val="28"/>
        </w:rPr>
        <w:t>注：标红加粗部分为新增内容，删除线部分为删除的内容。</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2"/>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4"/>
                <w14:textFill>
                  <w14:solidFill>
                    <w14:schemeClr w14:val="bg1"/>
                  </w14:solidFill>
                </w14:textFill>
              </w:rPr>
            </w:pPr>
            <w:r>
              <w:rPr>
                <w:rFonts w:hint="eastAsia" w:ascii="Times New Roman" w:hAnsi="Times New Roman" w:eastAsia="方正仿宋简体" w:cs="Times New Roman"/>
                <w:b/>
                <w:color w:val="FFFFFF" w:themeColor="background1"/>
                <w:sz w:val="28"/>
                <w:szCs w:val="24"/>
                <w14:textFill>
                  <w14:solidFill>
                    <w14:schemeClr w14:val="bg1"/>
                  </w14:solidFill>
                </w14:textFill>
              </w:rPr>
              <w:t>《上海国际能源交易中心交割细则》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0" w:type="dxa"/>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8"/>
                <w14:textFill>
                  <w14:solidFill>
                    <w14:schemeClr w14:val="bg1"/>
                  </w14:solidFill>
                </w14:textFill>
              </w:rPr>
            </w:pPr>
            <w:r>
              <w:rPr>
                <w:rFonts w:ascii="Times New Roman" w:hAnsi="Times New Roman" w:eastAsia="方正仿宋简体" w:cs="Times New Roman"/>
                <w:b/>
                <w:color w:val="FFFFFF" w:themeColor="background1"/>
                <w:sz w:val="28"/>
                <w:szCs w:val="28"/>
                <w14:textFill>
                  <w14:solidFill>
                    <w14:schemeClr w14:val="bg1"/>
                  </w14:solidFill>
                </w14:textFill>
              </w:rPr>
              <w:t>修订版本</w:t>
            </w:r>
          </w:p>
        </w:tc>
        <w:tc>
          <w:tcPr>
            <w:tcW w:w="7370" w:type="dxa"/>
            <w:shd w:val="clear" w:color="auto" w:fill="5B9BD5" w:themeFill="accent1"/>
            <w:vAlign w:val="center"/>
          </w:tcPr>
          <w:p>
            <w:pPr>
              <w:spacing w:line="560" w:lineRule="exact"/>
              <w:jc w:val="center"/>
              <w:rPr>
                <w:rFonts w:ascii="Times New Roman" w:hAnsi="Times New Roman" w:eastAsia="方正仿宋简体" w:cs="Times New Roman"/>
                <w:b/>
                <w:color w:val="FFFFFF" w:themeColor="background1"/>
                <w:sz w:val="28"/>
                <w:szCs w:val="28"/>
                <w14:textFill>
                  <w14:solidFill>
                    <w14:schemeClr w14:val="bg1"/>
                  </w14:solidFill>
                </w14:textFill>
              </w:rPr>
            </w:pPr>
            <w:r>
              <w:rPr>
                <w:rFonts w:ascii="Times New Roman" w:hAnsi="Times New Roman" w:eastAsia="方正仿宋简体" w:cs="Times New Roman"/>
                <w:b/>
                <w:color w:val="FFFFFF" w:themeColor="background1"/>
                <w:sz w:val="28"/>
                <w:szCs w:val="28"/>
                <w14:textFill>
                  <w14:solidFill>
                    <w14:schemeClr w14:val="bg1"/>
                  </w14:solidFill>
                </w14:textFill>
              </w:rPr>
              <w:t>现行版本（2026年</w:t>
            </w:r>
            <w:r>
              <w:rPr>
                <w:rFonts w:hint="eastAsia" w:ascii="Times New Roman" w:hAnsi="Times New Roman" w:eastAsia="方正仿宋简体" w:cs="Times New Roman"/>
                <w:b/>
                <w:color w:val="FFFFFF" w:themeColor="background1"/>
                <w:sz w:val="28"/>
                <w:szCs w:val="28"/>
                <w:lang w:val="en-US" w:eastAsia="zh-CN"/>
                <w14:textFill>
                  <w14:solidFill>
                    <w14:schemeClr w14:val="bg1"/>
                  </w14:solidFill>
                </w14:textFill>
              </w:rPr>
              <w:t>6</w:t>
            </w:r>
            <w:r>
              <w:rPr>
                <w:rFonts w:ascii="Times New Roman" w:hAnsi="Times New Roman" w:eastAsia="方正仿宋简体" w:cs="Times New Roman"/>
                <w:b/>
                <w:color w:val="FFFFFF" w:themeColor="background1"/>
                <w:sz w:val="28"/>
                <w:szCs w:val="28"/>
                <w14:textFill>
                  <w14:solidFill>
                    <w14:schemeClr w14:val="bg1"/>
                  </w14:solidFill>
                </w14:textFill>
              </w:rPr>
              <w:t>月</w:t>
            </w:r>
            <w:r>
              <w:rPr>
                <w:rFonts w:hint="eastAsia" w:ascii="Times New Roman" w:hAnsi="Times New Roman" w:eastAsia="方正仿宋简体" w:cs="Times New Roman"/>
                <w:b/>
                <w:color w:val="FFFFFF" w:themeColor="background1"/>
                <w:sz w:val="28"/>
                <w:szCs w:val="28"/>
                <w:lang w:val="en-US" w:eastAsia="zh-CN"/>
                <w14:textFill>
                  <w14:solidFill>
                    <w14:schemeClr w14:val="bg1"/>
                  </w14:solidFill>
                </w14:textFill>
              </w:rPr>
              <w:t>18</w:t>
            </w:r>
            <w:r>
              <w:rPr>
                <w:rFonts w:ascii="Times New Roman" w:hAnsi="Times New Roman" w:eastAsia="方正仿宋简体" w:cs="Times New Roman"/>
                <w:b/>
                <w:color w:val="FFFFFF" w:themeColor="background1"/>
                <w:sz w:val="28"/>
                <w:szCs w:val="28"/>
                <w14:textFill>
                  <w14:solidFill>
                    <w14:schemeClr w14:val="bg1"/>
                  </w14:solidFill>
                </w14:textFill>
              </w:rPr>
              <w:t>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第一章  </w:t>
            </w:r>
            <w:r>
              <w:rPr>
                <w:rFonts w:ascii="Times New Roman" w:hAnsi="Times New Roman" w:eastAsia="方正仿宋简体" w:cs="Times New Roman"/>
                <w:bCs/>
                <w:sz w:val="28"/>
                <w:szCs w:val="28"/>
              </w:rPr>
              <w:t>总则</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第一章  </w:t>
            </w:r>
            <w:r>
              <w:rPr>
                <w:rFonts w:ascii="Times New Roman" w:hAnsi="Times New Roman" w:eastAsia="方正仿宋简体" w:cs="Times New Roman"/>
                <w:bCs/>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第五条 </w:t>
            </w:r>
            <w:r>
              <w:rPr>
                <w:rFonts w:ascii="Times New Roman" w:hAnsi="Times New Roman" w:eastAsia="方正仿宋简体" w:cs="Times New Roman"/>
                <w:b/>
                <w:bCs/>
                <w:color w:val="FF0000"/>
                <w:sz w:val="28"/>
                <w:szCs w:val="28"/>
              </w:rPr>
              <w:t>期货合约的实物交割按照交割场所区域不同，可以分为境内交割和境外交割。</w:t>
            </w:r>
            <w:r>
              <w:rPr>
                <w:rFonts w:ascii="Times New Roman" w:hAnsi="Times New Roman" w:eastAsia="方正仿宋简体" w:cs="Times New Roman"/>
                <w:sz w:val="28"/>
                <w:szCs w:val="28"/>
              </w:rPr>
              <w:t>期货合约的</w:t>
            </w:r>
            <w:r>
              <w:rPr>
                <w:rFonts w:ascii="Times New Roman" w:hAnsi="Times New Roman" w:eastAsia="方正仿宋简体" w:cs="Times New Roman"/>
                <w:b/>
                <w:bCs/>
                <w:color w:val="FF0000"/>
                <w:sz w:val="28"/>
                <w:szCs w:val="28"/>
              </w:rPr>
              <w:t>境内</w:t>
            </w:r>
            <w:r>
              <w:rPr>
                <w:rFonts w:ascii="Times New Roman" w:hAnsi="Times New Roman" w:eastAsia="方正仿宋简体" w:cs="Times New Roman"/>
                <w:sz w:val="28"/>
                <w:szCs w:val="28"/>
              </w:rPr>
              <w:t>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r>
              <w:rPr>
                <w:rFonts w:ascii="Times New Roman" w:hAnsi="Times New Roman" w:eastAsia="方正仿宋简体" w:cs="Times New Roman"/>
                <w:bCs/>
                <w:sz w:val="28"/>
                <w:szCs w:val="28"/>
              </w:rPr>
              <w:t>。</w:t>
            </w:r>
            <w:r>
              <w:rPr>
                <w:rFonts w:ascii="Times New Roman" w:hAnsi="Times New Roman" w:eastAsia="方正仿宋简体" w:cs="Times New Roman"/>
                <w:b/>
                <w:bCs/>
                <w:color w:val="FF0000"/>
                <w:sz w:val="28"/>
                <w:szCs w:val="28"/>
              </w:rPr>
              <w:t>境外交割是指以实际未进出我国关境、未纳入我国海关货物贸易统计的，期货合约所载商品作为交割标的物进行实物交割的方式。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第五条</w:t>
            </w:r>
            <w:r>
              <w:rPr>
                <w:rFonts w:ascii="Times New Roman" w:hAnsi="Times New Roman" w:eastAsia="方正仿宋简体" w:cs="Times New Roman"/>
                <w:sz w:val="28"/>
                <w:szCs w:val="28"/>
              </w:rPr>
              <w:t xml:space="preserve"> 期货合约的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第六条</w:t>
            </w:r>
            <w:r>
              <w:rPr>
                <w:rFonts w:ascii="Times New Roman" w:hAnsi="Times New Roman" w:eastAsia="方正仿宋简体" w:cs="Times New Roman"/>
                <w:bCs/>
                <w:sz w:val="28"/>
                <w:szCs w:val="28"/>
              </w:rPr>
              <w:t xml:space="preserve"> 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指定交割仓库按照为期货合约履行实物交割的地点所在场所区域不同，分为境内指定交割仓库和境外指定交割仓库。</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一个或者多个指定交割仓库及其联合方，通过集团化管理、运营和合作，经能源中心批准，可以为某期货商品提供标准仓单、异地提货等集团交割业务。有关集团交割业务的具体内容，由能源中心另行规定。</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指定交割仓库经能源中心审定批准后另行公布。</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第六条</w:t>
            </w:r>
            <w:r>
              <w:rPr>
                <w:rFonts w:ascii="Times New Roman" w:hAnsi="Times New Roman" w:eastAsia="方正仿宋简体" w:cs="Times New Roman"/>
                <w:bCs/>
                <w:sz w:val="28"/>
                <w:szCs w:val="28"/>
              </w:rPr>
              <w:t xml:space="preserve"> 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一个或者多个指定交割仓库及其联合方，通过集团化管理、运营和合作，经能源中心批准，可以为某期货商品提供标准仓单、异地提货等集团交割业务。有关集团交割业务的具体内容，由能源中心另行规定。</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指定交割仓库经能源中心审定批准后另行公布。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第七条</w:t>
            </w:r>
            <w:r>
              <w:rPr>
                <w:rFonts w:ascii="Times New Roman" w:hAnsi="Times New Roman" w:eastAsia="方正仿宋简体" w:cs="Times New Roman"/>
                <w:sz w:val="28"/>
                <w:szCs w:val="28"/>
              </w:rPr>
              <w:t xml:space="preserve"> 标准仓单是指定交割仓库按照能源中心规定程序签发的、在能源中心标准仓单管理系统生成的提货凭证。标准仓单以外的提货凭证属于非标准仓单。</w:t>
            </w:r>
          </w:p>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标准仓单按照对应商品所在场所区域不同，分为境内标准仓单和境外标准仓单。</w:t>
            </w:r>
          </w:p>
          <w:p>
            <w:pPr>
              <w:tabs>
                <w:tab w:val="left" w:pos="0"/>
                <w:tab w:val="left" w:pos="709"/>
              </w:tabs>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境内</w:t>
            </w:r>
            <w:r>
              <w:rPr>
                <w:rFonts w:ascii="Times New Roman" w:hAnsi="Times New Roman" w:eastAsia="方正仿宋简体" w:cs="Times New Roman"/>
                <w:sz w:val="28"/>
                <w:szCs w:val="28"/>
              </w:rPr>
              <w:t>标准仓单按照</w:t>
            </w:r>
            <w:r>
              <w:rPr>
                <w:rFonts w:ascii="Times New Roman" w:hAnsi="Times New Roman" w:eastAsia="方正仿宋简体" w:cs="Times New Roman"/>
                <w:dstrike/>
                <w:sz w:val="28"/>
                <w:szCs w:val="28"/>
              </w:rPr>
              <w:t>期货</w:t>
            </w:r>
            <w:r>
              <w:rPr>
                <w:rFonts w:ascii="Times New Roman" w:hAnsi="Times New Roman" w:eastAsia="方正仿宋简体" w:cs="Times New Roman"/>
                <w:b/>
                <w:bCs/>
                <w:color w:val="FF0000"/>
                <w:sz w:val="28"/>
                <w:szCs w:val="28"/>
              </w:rPr>
              <w:t>对应</w:t>
            </w:r>
            <w:r>
              <w:rPr>
                <w:rFonts w:ascii="Times New Roman" w:hAnsi="Times New Roman" w:eastAsia="方正仿宋简体" w:cs="Times New Roman"/>
                <w:sz w:val="28"/>
                <w:szCs w:val="28"/>
              </w:rPr>
              <w:t>商品完税状态不同，分为保税标准仓单和完税标准仓单。</w:t>
            </w:r>
          </w:p>
          <w:p>
            <w:pPr>
              <w:tabs>
                <w:tab w:val="left" w:pos="0"/>
                <w:tab w:val="left" w:pos="709"/>
              </w:tabs>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sz w:val="28"/>
                <w:szCs w:val="28"/>
              </w:rPr>
              <w:t>标准仓单按照指定交割仓库性质不同，分为仓库标准仓单和厂库标准仓单。</w:t>
            </w:r>
          </w:p>
        </w:tc>
        <w:tc>
          <w:tcPr>
            <w:tcW w:w="7370" w:type="dxa"/>
          </w:tcPr>
          <w:p>
            <w:pPr>
              <w:tabs>
                <w:tab w:val="left" w:pos="0"/>
                <w:tab w:val="left" w:pos="709"/>
              </w:tabs>
              <w:spacing w:line="560" w:lineRule="exact"/>
              <w:ind w:firstLine="562" w:firstLineChars="200"/>
              <w:rPr>
                <w:rFonts w:ascii="Times New Roman" w:hAnsi="Times New Roman" w:eastAsia="方正仿宋简体" w:cs="Times New Roman"/>
                <w:kern w:val="0"/>
                <w:sz w:val="28"/>
                <w:szCs w:val="28"/>
              </w:rPr>
            </w:pPr>
            <w:r>
              <w:rPr>
                <w:rFonts w:ascii="Times New Roman" w:hAnsi="Times New Roman" w:eastAsia="方正仿宋简体" w:cs="Times New Roman"/>
                <w:b/>
                <w:kern w:val="0"/>
                <w:sz w:val="28"/>
                <w:szCs w:val="28"/>
              </w:rPr>
              <w:t xml:space="preserve">第七条 </w:t>
            </w:r>
            <w:r>
              <w:rPr>
                <w:rFonts w:ascii="Times New Roman" w:hAnsi="Times New Roman" w:eastAsia="方正仿宋简体" w:cs="Times New Roman"/>
                <w:kern w:val="0"/>
                <w:sz w:val="28"/>
                <w:szCs w:val="28"/>
              </w:rPr>
              <w:t>标准仓单是指定交割仓库按照能源中心规定程序签发的、在能源中心标准仓单管理系统生成的提货凭证。标准仓单以外的提货凭证属于非标准仓单。</w:t>
            </w:r>
          </w:p>
          <w:p>
            <w:pPr>
              <w:tabs>
                <w:tab w:val="left" w:pos="0"/>
                <w:tab w:val="left" w:pos="709"/>
              </w:tabs>
              <w:spacing w:line="560" w:lineRule="exact"/>
              <w:ind w:firstLine="560" w:firstLineChars="200"/>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标准仓单按照期货商品完税状态不同，分为保税标准仓单和完税标准仓单。</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kern w:val="0"/>
                <w:sz w:val="28"/>
                <w:szCs w:val="28"/>
              </w:rPr>
              <w:t>标准仓单按照指定交割仓库性质不同，分为仓库标准仓单和厂库标准仓单。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第二章  </w:t>
            </w:r>
            <w:r>
              <w:rPr>
                <w:rFonts w:ascii="Times New Roman" w:hAnsi="Times New Roman" w:eastAsia="方正仿宋简体" w:cs="Times New Roman"/>
                <w:bCs/>
                <w:sz w:val="28"/>
                <w:szCs w:val="28"/>
              </w:rPr>
              <w:t>标准实物交割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第二章  </w:t>
            </w:r>
            <w:r>
              <w:rPr>
                <w:rFonts w:ascii="Times New Roman" w:hAnsi="Times New Roman" w:eastAsia="方正仿宋简体" w:cs="Times New Roman"/>
                <w:bCs/>
                <w:sz w:val="28"/>
                <w:szCs w:val="28"/>
              </w:rPr>
              <w:t>标准实物交割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第十三条 ……</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（二）第二交割日（配对）</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能源中心根据已有资源，按照“时间优先、数量取整、就近配对、统筹安排”的原则对标准仓单进行配对后分配。</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境外标准仓单按照“意向优先、境外买方优先”的原则进行配对后分配。本条所指的“境外买方”不包括合格境外机构投资者和人民币合格境外机构投资者。</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w:t>
            </w:r>
          </w:p>
        </w:tc>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第十三条 ……</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（二）第二交割日（配对）</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能源中心根据已有资源，按照“时间优先、数量取整、就近配对、统筹安排”的原则对标准仓单进行配对后分配。</w:t>
            </w:r>
          </w:p>
          <w:p>
            <w:pPr>
              <w:tabs>
                <w:tab w:val="left" w:pos="0"/>
                <w:tab w:val="left" w:pos="709"/>
              </w:tabs>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第三章  </w:t>
            </w:r>
            <w:r>
              <w:rPr>
                <w:rFonts w:ascii="Times New Roman" w:hAnsi="Times New Roman" w:eastAsia="方正仿宋简体" w:cs="Times New Roman"/>
                <w:bCs/>
                <w:sz w:val="28"/>
                <w:szCs w:val="28"/>
              </w:rPr>
              <w:t>期货转现货</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第三章  </w:t>
            </w:r>
            <w:r>
              <w:rPr>
                <w:rFonts w:ascii="Times New Roman" w:hAnsi="Times New Roman" w:eastAsia="方正仿宋简体" w:cs="Times New Roman"/>
                <w:bCs/>
                <w:sz w:val="28"/>
                <w:szCs w:val="28"/>
              </w:rPr>
              <w:t>期货转现货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第二十六条 </w:t>
            </w:r>
            <w:r>
              <w:rPr>
                <w:rFonts w:ascii="Times New Roman" w:hAnsi="Times New Roman" w:eastAsia="方正仿宋简体" w:cs="Times New Roman"/>
                <w:bCs/>
                <w:sz w:val="28"/>
                <w:szCs w:val="28"/>
              </w:rPr>
              <w:t>期转现的交割结算价为买方和卖方达成的协议价，但使用保税标准仓单</w:t>
            </w:r>
            <w:r>
              <w:rPr>
                <w:rFonts w:ascii="Times New Roman" w:hAnsi="Times New Roman" w:eastAsia="方正仿宋简体" w:cs="Times New Roman"/>
                <w:b/>
                <w:bCs/>
                <w:color w:val="FF0000"/>
                <w:sz w:val="28"/>
                <w:szCs w:val="28"/>
              </w:rPr>
              <w:t>或境外标准仓单</w:t>
            </w:r>
            <w:r>
              <w:rPr>
                <w:rFonts w:ascii="Times New Roman" w:hAnsi="Times New Roman" w:eastAsia="方正仿宋简体" w:cs="Times New Roman"/>
                <w:bCs/>
                <w:sz w:val="28"/>
                <w:szCs w:val="28"/>
              </w:rPr>
              <w:t>并通过能源中心结算的，期转现的交割结算价应当按照本细则中上市品种期货合约部分的具体规定计算。</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sz w:val="28"/>
                <w:szCs w:val="28"/>
              </w:rPr>
              <w:t xml:space="preserve">第二十六条 </w:t>
            </w:r>
            <w:r>
              <w:rPr>
                <w:rFonts w:ascii="Times New Roman" w:hAnsi="Times New Roman" w:eastAsia="方正仿宋简体" w:cs="Times New Roman"/>
                <w:bCs/>
                <w:sz w:val="28"/>
                <w:szCs w:val="28"/>
              </w:rPr>
              <w:t>期转现的交割结算价为买方和卖方达成的协议价，但使用保税标准仓单并通过能源中心结算的，期转现的交割结算价应当按照本细则中上市品种期货合约部分的具体规定计算。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第二十九条 </w:t>
            </w:r>
            <w:r>
              <w:rPr>
                <w:rFonts w:ascii="Times New Roman" w:hAnsi="Times New Roman" w:eastAsia="方正仿宋简体" w:cs="Times New Roman"/>
                <w:bCs/>
                <w:sz w:val="28"/>
                <w:szCs w:val="28"/>
              </w:rPr>
              <w:t>期转现使用</w:t>
            </w:r>
            <w:r>
              <w:rPr>
                <w:rFonts w:ascii="Times New Roman" w:hAnsi="Times New Roman" w:eastAsia="方正仿宋简体" w:cs="Times New Roman"/>
                <w:b/>
                <w:bCs/>
                <w:color w:val="FF0000"/>
                <w:sz w:val="28"/>
                <w:szCs w:val="28"/>
              </w:rPr>
              <w:t>保税</w:t>
            </w:r>
            <w:r>
              <w:rPr>
                <w:rFonts w:ascii="Times New Roman" w:hAnsi="Times New Roman" w:eastAsia="方正仿宋简体" w:cs="Times New Roman"/>
                <w:bCs/>
                <w:sz w:val="28"/>
                <w:szCs w:val="28"/>
              </w:rPr>
              <w:t>标准仓单并通过能源中心结算的，卖方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应当在办理货款和标准仓单交付手续后5个交易日内向能源中心提交发票。卖方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在14:00之前交付发票的，能源中心复核无误后在当日结算时向卖方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清退相应的保证金。卖方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在14:00之后交付发票的，能源中心复核无误后在下一交易日结算时向卖方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清退相应的保证金。能源中心在收到卖方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发票的下一个交易日内向买方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开具发票。卖方</w:t>
            </w:r>
            <w:r>
              <w:rPr>
                <w:rFonts w:ascii="Times New Roman" w:hAnsi="Times New Roman" w:eastAsia="方正仿宋简体" w:cs="Times New Roman"/>
                <w:b/>
                <w:bCs/>
                <w:color w:val="FF0000"/>
                <w:sz w:val="28"/>
                <w:szCs w:val="28"/>
              </w:rPr>
              <w:t>会员</w:t>
            </w:r>
            <w:r>
              <w:rPr>
                <w:rFonts w:ascii="Times New Roman" w:hAnsi="Times New Roman" w:eastAsia="方正仿宋简体" w:cs="Times New Roman"/>
                <w:bCs/>
                <w:sz w:val="28"/>
                <w:szCs w:val="28"/>
              </w:rPr>
              <w:t>未在规定期限内提交发票的，按</w:t>
            </w:r>
            <w:r>
              <w:rPr>
                <w:rFonts w:ascii="Times New Roman" w:hAnsi="Times New Roman" w:eastAsia="方正仿宋简体" w:cs="Times New Roman"/>
                <w:b/>
                <w:bCs/>
                <w:color w:val="FF0000"/>
                <w:sz w:val="28"/>
                <w:szCs w:val="28"/>
              </w:rPr>
              <w:t>照</w:t>
            </w:r>
            <w:r>
              <w:rPr>
                <w:rFonts w:ascii="Times New Roman" w:hAnsi="Times New Roman" w:eastAsia="方正仿宋简体" w:cs="Times New Roman"/>
                <w:bCs/>
                <w:sz w:val="28"/>
                <w:szCs w:val="28"/>
              </w:rPr>
              <w:t>《上海国际能源交易中心结算细则》的有关规定处理。</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期转现使用境外标准仓单并通过能源中心结算的，发票由卖方向买方开具，买卖双方发票、发票开具所需的具体信息等</w:t>
            </w:r>
            <w:r>
              <w:rPr>
                <w:rFonts w:hint="eastAsia" w:ascii="Times New Roman" w:hAnsi="Times New Roman" w:eastAsia="方正仿宋简体" w:cs="Times New Roman"/>
                <w:b/>
                <w:bCs/>
                <w:color w:val="FF0000"/>
                <w:sz w:val="28"/>
                <w:szCs w:val="28"/>
              </w:rPr>
              <w:t>应当</w:t>
            </w:r>
            <w:r>
              <w:rPr>
                <w:rFonts w:ascii="Times New Roman" w:hAnsi="Times New Roman" w:eastAsia="方正仿宋简体" w:cs="Times New Roman"/>
                <w:b/>
                <w:bCs/>
                <w:color w:val="FF0000"/>
                <w:sz w:val="28"/>
                <w:szCs w:val="28"/>
              </w:rPr>
              <w:t>由</w:t>
            </w:r>
            <w:r>
              <w:rPr>
                <w:rFonts w:hint="eastAsia" w:ascii="Times New Roman" w:hAnsi="Times New Roman" w:eastAsia="方正仿宋简体" w:cs="Times New Roman"/>
                <w:b/>
                <w:bCs/>
                <w:color w:val="FF0000"/>
                <w:sz w:val="28"/>
                <w:szCs w:val="28"/>
              </w:rPr>
              <w:t>双方</w:t>
            </w:r>
            <w:r>
              <w:rPr>
                <w:rFonts w:ascii="Times New Roman" w:hAnsi="Times New Roman" w:eastAsia="方正仿宋简体" w:cs="Times New Roman"/>
                <w:b/>
                <w:bCs/>
                <w:color w:val="FF0000"/>
                <w:sz w:val="28"/>
                <w:szCs w:val="28"/>
              </w:rPr>
              <w:t>会员进行核实、传递及确认，买方会员应当在办理期转现手续后的一个</w:t>
            </w:r>
            <w:r>
              <w:rPr>
                <w:rFonts w:hint="eastAsia" w:ascii="Times New Roman" w:hAnsi="Times New Roman" w:eastAsia="方正仿宋简体" w:cs="Times New Roman"/>
                <w:b/>
                <w:bCs/>
                <w:color w:val="FF0000"/>
                <w:sz w:val="28"/>
                <w:szCs w:val="28"/>
              </w:rPr>
              <w:t>交易</w:t>
            </w:r>
            <w:r>
              <w:rPr>
                <w:rFonts w:ascii="Times New Roman" w:hAnsi="Times New Roman" w:eastAsia="方正仿宋简体" w:cs="Times New Roman"/>
                <w:b/>
                <w:bCs/>
                <w:color w:val="FF0000"/>
                <w:sz w:val="28"/>
                <w:szCs w:val="28"/>
              </w:rPr>
              <w:t>日内，向卖方会员提供有关发票开具所需的具体信息。双方会员负责调解、处理相关纠纷。境外特殊经纪参与者、境外中介机构应协助会员进行发票、发票开具所需具体信息等的核实、传递及确认，并协助会员调解、处理相关纠纷。卖方会员应当在办理期转现手续后的</w:t>
            </w:r>
            <w:r>
              <w:rPr>
                <w:rFonts w:hint="eastAsia" w:ascii="Times New Roman" w:hAnsi="Times New Roman" w:eastAsia="方正仿宋简体" w:cs="Times New Roman"/>
                <w:b/>
                <w:bCs/>
                <w:color w:val="FF0000"/>
                <w:sz w:val="28"/>
                <w:szCs w:val="28"/>
              </w:rPr>
              <w:t>五</w:t>
            </w:r>
            <w:r>
              <w:rPr>
                <w:rFonts w:ascii="Times New Roman" w:hAnsi="Times New Roman" w:eastAsia="方正仿宋简体" w:cs="Times New Roman"/>
                <w:b/>
                <w:bCs/>
                <w:color w:val="FF0000"/>
                <w:sz w:val="28"/>
                <w:szCs w:val="28"/>
              </w:rPr>
              <w:t>个交易日内将发票交至买方会员。卖方会员在办理期转现手续后的下一个交易日14:00之前未办妥发票事宜的，能源中心当日对相应交割头寸以该合约期转现的交割结算价收取不低于15%的保证金，保证金在买卖双方办妥发票事宜并经双方会员申请、确认后清退。卖方会员未在规定期限内提交发票的，参照《上海国际能源交易中心结算细则》的有关规定处理。</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第二十九条</w:t>
            </w:r>
            <w:r>
              <w:rPr>
                <w:rFonts w:ascii="Times New Roman" w:hAnsi="Times New Roman" w:eastAsia="方正仿宋简体" w:cs="Times New Roman"/>
                <w:bCs/>
                <w:sz w:val="28"/>
                <w:szCs w:val="28"/>
              </w:rPr>
              <w:t>期转现使用标准仓单并通过能源中心结算的，卖方应当在办理货款和标准仓单交付手续后5个交易日内向能源中心提交发票。卖方在14:00之前交付发票的，能源中心复核无误后在当日结算时向卖方清退相应的保证金。卖方在14:00之后交付发票的，能源中心复核无误后在下一交易日结算时向卖方清退相应的保证金。能源中心在收到卖方发票的下一个交易日内向买方开具发票。卖方未在规定期限内提交发票的，按《上海国际能源交易中心结算细则》的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第四章  </w:t>
            </w:r>
            <w:r>
              <w:rPr>
                <w:rFonts w:ascii="Times New Roman" w:hAnsi="Times New Roman" w:eastAsia="方正仿宋简体" w:cs="Times New Roman"/>
                <w:bCs/>
                <w:sz w:val="28"/>
                <w:szCs w:val="28"/>
              </w:rPr>
              <w:t>仓库交割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第四章  </w:t>
            </w:r>
            <w:r>
              <w:rPr>
                <w:rFonts w:ascii="Times New Roman" w:hAnsi="Times New Roman" w:eastAsia="方正仿宋简体" w:cs="Times New Roman"/>
                <w:bCs/>
                <w:sz w:val="28"/>
                <w:szCs w:val="28"/>
              </w:rPr>
              <w:t>仓库交割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第四十五条  </w:t>
            </w:r>
            <w:r>
              <w:rPr>
                <w:rFonts w:ascii="Times New Roman" w:hAnsi="Times New Roman" w:eastAsia="方正仿宋简体" w:cs="Times New Roman"/>
                <w:bCs/>
                <w:sz w:val="28"/>
                <w:szCs w:val="28"/>
              </w:rPr>
              <w:t>……</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bCs/>
                <w:sz w:val="28"/>
                <w:szCs w:val="28"/>
              </w:rPr>
              <w:t>标准仓单持有人对交割商品的质量</w:t>
            </w:r>
            <w:r>
              <w:rPr>
                <w:rFonts w:ascii="Times New Roman" w:hAnsi="Times New Roman" w:eastAsia="方正仿宋简体" w:cs="Times New Roman"/>
                <w:b/>
                <w:bCs/>
                <w:color w:val="FF0000"/>
                <w:sz w:val="28"/>
                <w:szCs w:val="28"/>
              </w:rPr>
              <w:t>、数（重）量</w:t>
            </w:r>
            <w:r>
              <w:rPr>
                <w:rFonts w:ascii="Times New Roman" w:hAnsi="Times New Roman" w:eastAsia="方正仿宋简体" w:cs="Times New Roman"/>
                <w:bCs/>
                <w:sz w:val="28"/>
                <w:szCs w:val="28"/>
              </w:rPr>
              <w:t>有异议的，应当在指定检验机构出具检验报告后10个工作日内，向指定交割仓库提出书面申请，并应当同时提供指定检验机构出具的质量检验报告。逾期未提出申请的，视为对交割商品无异议，指定交割仓库和能源中心不再受理交割商品有异议的申请。</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第四十五条  </w:t>
            </w:r>
            <w:r>
              <w:rPr>
                <w:rFonts w:ascii="Times New Roman" w:hAnsi="Times New Roman" w:eastAsia="方正仿宋简体" w:cs="Times New Roman"/>
                <w:bCs/>
                <w:sz w:val="28"/>
                <w:szCs w:val="28"/>
              </w:rPr>
              <w:t>……</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标准仓单持有人对交割商品的质量有异议的，应当在指定检验机构出具检验报告后10个工作日内，向指定交割仓库提出书面申请，并应当同时提供指定检验机构出具的质量检验报告。逾期未提出申请的，视为对交割商品无异议，指定交割仓库和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第五章 </w:t>
            </w:r>
            <w:r>
              <w:rPr>
                <w:rFonts w:ascii="Times New Roman" w:hAnsi="Times New Roman" w:eastAsia="方正仿宋简体" w:cs="Times New Roman"/>
                <w:bCs/>
                <w:sz w:val="28"/>
                <w:szCs w:val="28"/>
              </w:rPr>
              <w:t>厂库交割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第五章 </w:t>
            </w:r>
            <w:r>
              <w:rPr>
                <w:rFonts w:ascii="Times New Roman" w:hAnsi="Times New Roman" w:eastAsia="方正仿宋简体" w:cs="Times New Roman"/>
                <w:bCs/>
                <w:sz w:val="28"/>
                <w:szCs w:val="28"/>
              </w:rPr>
              <w:t>厂库交割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tabs>
                <w:tab w:val="left" w:pos="0"/>
                <w:tab w:val="left" w:pos="709"/>
              </w:tabs>
              <w:spacing w:line="560" w:lineRule="exact"/>
              <w:ind w:firstLine="562" w:firstLineChars="200"/>
              <w:rPr>
                <w:rFonts w:ascii="Times New Roman" w:hAnsi="Times New Roman" w:eastAsia="方正仿宋简体" w:cs="Times New Roman"/>
                <w:kern w:val="0"/>
                <w:sz w:val="28"/>
                <w:szCs w:val="28"/>
              </w:rPr>
            </w:pPr>
            <w:r>
              <w:rPr>
                <w:rFonts w:ascii="Times New Roman" w:hAnsi="Times New Roman" w:eastAsia="方正仿宋简体" w:cs="Times New Roman"/>
                <w:b/>
                <w:kern w:val="0"/>
                <w:sz w:val="28"/>
                <w:szCs w:val="28"/>
              </w:rPr>
              <w:t xml:space="preserve">第五十六条  </w:t>
            </w:r>
            <w:r>
              <w:rPr>
                <w:rFonts w:ascii="Times New Roman" w:hAnsi="Times New Roman" w:eastAsia="方正仿宋简体" w:cs="Times New Roman"/>
                <w:kern w:val="0"/>
                <w:sz w:val="28"/>
                <w:szCs w:val="28"/>
              </w:rPr>
              <w:t>厂库应当保证期货商品的出库质量符合能源中心上市品种期货合约规定的质量标准。</w:t>
            </w:r>
          </w:p>
          <w:p>
            <w:pPr>
              <w:tabs>
                <w:tab w:val="left" w:pos="0"/>
                <w:tab w:val="left" w:pos="709"/>
              </w:tabs>
              <w:spacing w:line="560" w:lineRule="exact"/>
              <w:ind w:firstLine="560" w:firstLineChars="200"/>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厂库标准仓单持有人对交割商品的质量</w:t>
            </w:r>
            <w:r>
              <w:rPr>
                <w:rFonts w:ascii="Times New Roman" w:hAnsi="Times New Roman" w:eastAsia="方正仿宋简体" w:cs="Times New Roman"/>
                <w:b/>
                <w:bCs/>
                <w:color w:val="FF0000"/>
                <w:sz w:val="28"/>
                <w:szCs w:val="28"/>
              </w:rPr>
              <w:t>、数（重）量</w:t>
            </w:r>
            <w:r>
              <w:rPr>
                <w:rFonts w:ascii="Times New Roman" w:hAnsi="Times New Roman" w:eastAsia="方正仿宋简体" w:cs="Times New Roman"/>
                <w:kern w:val="0"/>
                <w:sz w:val="28"/>
                <w:szCs w:val="28"/>
              </w:rPr>
              <w:t>有异议的，应当在实物交收完成后10个工作日内，向能源中心提出书面申请，并提供指定检验机构出具的质量鉴定意见。逾期未提出申请的，视为对交割商品无异议，能源中心不再受理交割商品有异议的申请。</w:t>
            </w:r>
          </w:p>
        </w:tc>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第五十六条</w:t>
            </w:r>
            <w:r>
              <w:rPr>
                <w:rFonts w:ascii="Times New Roman" w:hAnsi="Times New Roman" w:eastAsia="方正仿宋简体" w:cs="Times New Roman"/>
                <w:bCs/>
                <w:sz w:val="28"/>
                <w:szCs w:val="28"/>
              </w:rPr>
              <w:t xml:space="preserve">  厂库应当保证期货商品的出库质量符合能源中心上市品种期货合约规定的质量标准。</w:t>
            </w:r>
          </w:p>
          <w:p>
            <w:pPr>
              <w:spacing w:line="560" w:lineRule="exact"/>
              <w:ind w:firstLine="560" w:firstLineChars="200"/>
              <w:rPr>
                <w:rFonts w:ascii="Times New Roman" w:hAnsi="Times New Roman" w:eastAsia="方正仿宋简体" w:cs="Times New Roman"/>
                <w:bCs/>
                <w:sz w:val="28"/>
                <w:szCs w:val="28"/>
              </w:rPr>
            </w:pPr>
            <w:r>
              <w:rPr>
                <w:rFonts w:ascii="Times New Roman" w:hAnsi="Times New Roman" w:eastAsia="方正仿宋简体" w:cs="Times New Roman"/>
                <w:bCs/>
                <w:sz w:val="28"/>
                <w:szCs w:val="28"/>
              </w:rPr>
              <w:t>厂库标准仓单持有人对交割商品的质量有异议的，应当在实物交收完成后10个工作日内，向能源中心提出书面申请，并提供指定检验机构出具的质量鉴定意见。逾期未提出申请的，视为对交割商品无异议，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第八章  </w:t>
            </w:r>
            <w:r>
              <w:rPr>
                <w:rFonts w:ascii="Times New Roman" w:hAnsi="Times New Roman" w:eastAsia="方正仿宋简体" w:cs="Times New Roman"/>
                <w:bCs/>
                <w:sz w:val="28"/>
                <w:szCs w:val="28"/>
              </w:rPr>
              <w:t>指定交割仓库管理</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第八章  </w:t>
            </w:r>
            <w:r>
              <w:rPr>
                <w:rFonts w:ascii="Times New Roman" w:hAnsi="Times New Roman" w:eastAsia="方正仿宋简体" w:cs="Times New Roman"/>
                <w:bCs/>
                <w:sz w:val="28"/>
                <w:szCs w:val="28"/>
              </w:rPr>
              <w:t>指定交割仓库管理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第七十一条</w:t>
            </w:r>
            <w:r>
              <w:rPr>
                <w:rFonts w:ascii="Times New Roman" w:hAnsi="Times New Roman" w:eastAsia="方正仿宋简体" w:cs="Times New Roman"/>
                <w:sz w:val="28"/>
                <w:szCs w:val="28"/>
              </w:rPr>
              <w:t xml:space="preserve"> 申请成为指定交割仓库应当具备以下条件：</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（一）符合所在地法律法规要求的、能开展相应商品仓储业务的资质，申请保税交割业务的，应当具有保税仓库经营资质。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（二）财务状况良好，具有较强的抗风险能力，注册资本和净资产应当达到能源中心规定的数额。</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（三）仓库总库容或者厂库生产能力、贸易量应当达到能源中心规定的要求。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（四）具有良好的商业信誉，近3年内无严重违法行为记录和被取消指定交割仓库资格的记录。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（五）具有完善的相关商品生产、贸易或者出入库、库存管理等规章制度，安全、计量符合法律法规行业规定要求。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（六）主要管理人员应当有5年以上生产、贸易或者仓储管理经验，拥有专业管理团队。</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（七）具有良好的交通运输条件，码头设施、港口条件及设备完好、齐全。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（八）认可并承诺遵守能源中心的交易规则、交割细则等。</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（九）能源中心要求的其他条件。</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申请成为境外指定交割仓库的，除应当符合本条</w:t>
            </w:r>
            <w:r>
              <w:rPr>
                <w:rFonts w:hint="eastAsia" w:ascii="Times New Roman" w:hAnsi="Times New Roman" w:eastAsia="方正仿宋简体" w:cs="Times New Roman"/>
                <w:b/>
                <w:color w:val="FF0000"/>
                <w:sz w:val="28"/>
                <w:szCs w:val="28"/>
              </w:rPr>
              <w:t>第一款</w:t>
            </w:r>
            <w:r>
              <w:rPr>
                <w:rFonts w:ascii="Times New Roman" w:hAnsi="Times New Roman" w:eastAsia="方正仿宋简体" w:cs="Times New Roman"/>
                <w:b/>
                <w:color w:val="FF0000"/>
                <w:sz w:val="28"/>
                <w:szCs w:val="28"/>
              </w:rPr>
              <w:t>第（一）项至第（九）项外，还应当具备以下条件：</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（一）选择和设置应满足相关品种期货功能发挥、交易平稳、交割安全等要求。</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（二）具有满足开展境外交割业务所需要的人员、业务系统及硬件设施。</w:t>
            </w:r>
          </w:p>
          <w:p>
            <w:pPr>
              <w:spacing w:line="560" w:lineRule="exact"/>
              <w:ind w:firstLine="560" w:firstLineChars="200"/>
              <w:rPr>
                <w:rFonts w:ascii="Times New Roman" w:hAnsi="Times New Roman" w:eastAsia="方正仿宋简体" w:cs="Times New Roman"/>
                <w:b/>
                <w:bCs/>
                <w:sz w:val="28"/>
                <w:szCs w:val="28"/>
              </w:rPr>
            </w:pPr>
            <w:r>
              <w:rPr>
                <w:rFonts w:ascii="Times New Roman" w:hAnsi="Times New Roman" w:eastAsia="方正仿宋简体" w:cs="Times New Roman"/>
                <w:sz w:val="28"/>
                <w:szCs w:val="28"/>
              </w:rPr>
              <w:t>能源中心有权根据申请人的财务状况、风险管理能力和运营稳健程度，豁免上述一项或者多项条件。</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第七十一条</w:t>
            </w:r>
            <w:r>
              <w:rPr>
                <w:rFonts w:ascii="Times New Roman" w:hAnsi="Times New Roman" w:eastAsia="方正仿宋简体" w:cs="Times New Roman"/>
                <w:sz w:val="28"/>
                <w:szCs w:val="28"/>
              </w:rPr>
              <w:t xml:space="preserve"> 申请成为指定交割仓库应当具备以下条件：</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（一）符合所在地法律法规要求的、能开展相应商品仓储业务的资质，申请保税交割业务的，应当具有保税仓库经营资质。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（二）财务状况良好，具有较强的抗风险能力，注册资本和净资产应当达到能源中心规定的数额。</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（三）仓库总库容或者厂库生产能力、贸易量应当达到能源中心规定的要求。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（四）具有良好的商业信誉，近3年内无严重违法行为记录和被取消指定交割仓库资格的记录。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（五）具有完善的相关商品生产、贸易或者出入库、库存管理等规章制度，安全、计量符合法律法规行业规定要求。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（六）主要管理人员应当有5年以上生产、贸易或者仓储管理经验，拥有专业管理团队。</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（七）具有良好的交通运输条件，码头设施、港口条件及设备完好、齐全。</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（八）认可并承诺遵守能源中心的交易规则、交割细则等。</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（九）能源中心要求的其他条件。</w:t>
            </w:r>
          </w:p>
          <w:p>
            <w:pPr>
              <w:spacing w:line="560" w:lineRule="exact"/>
              <w:ind w:firstLine="560" w:firstLineChars="200"/>
              <w:jc w:val="left"/>
              <w:rPr>
                <w:rFonts w:ascii="Times New Roman" w:hAnsi="Times New Roman" w:eastAsia="方正仿宋简体" w:cs="Times New Roman"/>
                <w:b/>
                <w:bCs/>
                <w:sz w:val="28"/>
                <w:szCs w:val="28"/>
              </w:rPr>
            </w:pPr>
            <w:r>
              <w:rPr>
                <w:rFonts w:ascii="Times New Roman" w:hAnsi="Times New Roman" w:eastAsia="方正仿宋简体" w:cs="Times New Roman"/>
                <w:sz w:val="28"/>
                <w:szCs w:val="28"/>
              </w:rPr>
              <w:t>能源中心有权根据申请人的财务状况、风险管理能力和运营稳健程度，豁免上述一项或者多项条件。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第十三章  </w:t>
            </w:r>
            <w:r>
              <w:rPr>
                <w:rFonts w:ascii="Times New Roman" w:hAnsi="Times New Roman" w:eastAsia="方正仿宋简体" w:cs="Times New Roman"/>
                <w:bCs/>
                <w:sz w:val="28"/>
                <w:szCs w:val="28"/>
              </w:rPr>
              <w:t>20号胶期货合约的交割</w:t>
            </w:r>
          </w:p>
        </w:tc>
        <w:tc>
          <w:tcPr>
            <w:tcW w:w="7370" w:type="dxa"/>
          </w:tcPr>
          <w:p>
            <w:pPr>
              <w:spacing w:line="56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第十三章  </w:t>
            </w:r>
            <w:r>
              <w:rPr>
                <w:rFonts w:ascii="Times New Roman" w:hAnsi="Times New Roman" w:eastAsia="方正仿宋简体" w:cs="Times New Roman"/>
                <w:bCs/>
                <w:sz w:val="28"/>
                <w:szCs w:val="28"/>
              </w:rPr>
              <w:t>20号胶期货合约的交割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Cs/>
                <w:sz w:val="28"/>
                <w:szCs w:val="28"/>
              </w:rPr>
            </w:pPr>
            <w:r>
              <w:rPr>
                <w:rFonts w:ascii="Times New Roman" w:hAnsi="Times New Roman" w:eastAsia="方正仿宋简体" w:cs="Times New Roman"/>
                <w:b/>
                <w:bCs/>
                <w:sz w:val="28"/>
                <w:szCs w:val="28"/>
              </w:rPr>
              <w:t xml:space="preserve">第一百七十九条 </w:t>
            </w:r>
            <w:r>
              <w:rPr>
                <w:rFonts w:ascii="Times New Roman" w:hAnsi="Times New Roman" w:eastAsia="方正仿宋简体" w:cs="Times New Roman"/>
                <w:bCs/>
                <w:sz w:val="28"/>
                <w:szCs w:val="28"/>
              </w:rPr>
              <w:t>20号胶期货合约采用实物交割</w:t>
            </w:r>
            <w:r>
              <w:rPr>
                <w:rFonts w:hint="eastAsia" w:ascii="Times New Roman" w:hAnsi="Times New Roman" w:eastAsia="方正仿宋简体" w:cs="Times New Roman"/>
                <w:b/>
                <w:bCs/>
                <w:color w:val="FF0000"/>
                <w:sz w:val="28"/>
                <w:szCs w:val="28"/>
                <w:lang w:eastAsia="zh-CN"/>
              </w:rPr>
              <w:t>中的</w:t>
            </w:r>
            <w:r>
              <w:rPr>
                <w:rFonts w:ascii="Times New Roman" w:hAnsi="Times New Roman" w:eastAsia="方正仿宋简体" w:cs="Times New Roman"/>
                <w:bCs/>
                <w:strike w:val="0"/>
                <w:dstrike/>
                <w:sz w:val="28"/>
                <w:szCs w:val="28"/>
              </w:rPr>
              <w:t>、</w:t>
            </w:r>
            <w:r>
              <w:rPr>
                <w:rFonts w:ascii="Times New Roman" w:hAnsi="Times New Roman" w:eastAsia="方正仿宋简体" w:cs="Times New Roman"/>
                <w:bCs/>
                <w:sz w:val="28"/>
                <w:szCs w:val="28"/>
              </w:rPr>
              <w:t>保税交割</w:t>
            </w:r>
            <w:r>
              <w:rPr>
                <w:rFonts w:ascii="Times New Roman" w:hAnsi="Times New Roman" w:eastAsia="方正仿宋简体" w:cs="Times New Roman"/>
                <w:bCs/>
                <w:dstrike/>
                <w:sz w:val="28"/>
                <w:szCs w:val="28"/>
              </w:rPr>
              <w:t>和</w:t>
            </w:r>
            <w:r>
              <w:rPr>
                <w:rFonts w:ascii="Times New Roman" w:hAnsi="Times New Roman" w:eastAsia="方正仿宋简体" w:cs="Times New Roman"/>
                <w:b/>
                <w:bCs/>
                <w:color w:val="FF0000"/>
                <w:sz w:val="28"/>
                <w:szCs w:val="28"/>
              </w:rPr>
              <w:t>、境外交割、</w:t>
            </w:r>
            <w:r>
              <w:rPr>
                <w:rFonts w:ascii="Times New Roman" w:hAnsi="Times New Roman" w:eastAsia="方正仿宋简体" w:cs="Times New Roman"/>
                <w:bCs/>
                <w:sz w:val="28"/>
                <w:szCs w:val="28"/>
              </w:rPr>
              <w:t>仓库交割</w:t>
            </w:r>
            <w:r>
              <w:rPr>
                <w:rFonts w:ascii="Times New Roman" w:hAnsi="Times New Roman" w:eastAsia="方正仿宋简体" w:cs="Times New Roman"/>
                <w:b/>
                <w:bCs/>
                <w:color w:val="FF0000"/>
                <w:sz w:val="28"/>
                <w:szCs w:val="28"/>
              </w:rPr>
              <w:t>和厂库交割</w:t>
            </w:r>
            <w:r>
              <w:rPr>
                <w:rFonts w:ascii="Times New Roman" w:hAnsi="Times New Roman" w:eastAsia="方正仿宋简体" w:cs="Times New Roman"/>
                <w:bCs/>
                <w:sz w:val="28"/>
                <w:szCs w:val="28"/>
              </w:rPr>
              <w:t>。</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bCs/>
                <w:color w:val="FF0000"/>
                <w:sz w:val="28"/>
                <w:szCs w:val="28"/>
              </w:rPr>
              <w:t>20号胶期货合约交割采取仓库交割和厂库交割的具体流程分别按照本细则第四章和第五章的规定执行。</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第一百七十九条  </w:t>
            </w:r>
            <w:r>
              <w:rPr>
                <w:rFonts w:ascii="Times New Roman" w:hAnsi="Times New Roman" w:eastAsia="方正仿宋简体" w:cs="Times New Roman"/>
                <w:sz w:val="28"/>
                <w:szCs w:val="28"/>
              </w:rPr>
              <w:t>20号胶期货合约采用实物交割、保税交割和仓库交割。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第一百八十八条  </w:t>
            </w:r>
            <w:r>
              <w:rPr>
                <w:rFonts w:ascii="Times New Roman" w:hAnsi="Times New Roman" w:eastAsia="方正仿宋简体" w:cs="Times New Roman"/>
                <w:sz w:val="28"/>
                <w:szCs w:val="28"/>
              </w:rPr>
              <w:t>20号胶标准品及替代品入库生成保税标准仓单时应当提供指定检验机构出具的检验报告、提单、原产地证明、海关入库核准单证等相关文件，供能源中心核实验证。</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20号胶厂库签发厂库标准仓单前，应当向能源中心提交签发申请。申请内容包括品种、会员单位、货主名称、拟申请签发标准仓单数量等。签发境外标准仓单时，厂库应当根据自身生产加工能力，以自身为货主向能源中心提交签发申请。</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厂库能够提供厂库标准仓单对应货物仓储安排持续符合相关要求证明材料的，能源中心可以豁免厂库提交担保。</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第一百八十八条  </w:t>
            </w:r>
            <w:r>
              <w:rPr>
                <w:rFonts w:ascii="Times New Roman" w:hAnsi="Times New Roman" w:eastAsia="方正仿宋简体" w:cs="Times New Roman"/>
                <w:sz w:val="28"/>
                <w:szCs w:val="28"/>
              </w:rPr>
              <w:t>20号胶标准品及替代品入库生成保税标准仓单时应当提供指定检验机构出具的检验报告、提单、原产地证明、海关入库核准单证等相关文件，供能源中心核实验证。</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b/>
                <w:kern w:val="0"/>
                <w:sz w:val="28"/>
                <w:szCs w:val="28"/>
              </w:rPr>
              <w:t>第一百八十九条</w:t>
            </w:r>
            <w:r>
              <w:rPr>
                <w:rFonts w:ascii="Times New Roman" w:hAnsi="Times New Roman" w:eastAsia="方正仿宋简体" w:cs="Times New Roman"/>
                <w:kern w:val="0"/>
                <w:sz w:val="28"/>
                <w:szCs w:val="28"/>
              </w:rPr>
              <w:t xml:space="preserve">  每一20号胶</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标准仓单名义重量100吨，应当是同一生产企业（工厂）生产的同一品牌、同一包装规格。</w:t>
            </w:r>
          </w:p>
        </w:tc>
        <w:tc>
          <w:tcPr>
            <w:tcW w:w="7370" w:type="dxa"/>
          </w:tcPr>
          <w:p>
            <w:pPr>
              <w:spacing w:line="560" w:lineRule="exact"/>
              <w:ind w:firstLine="562"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b/>
                <w:kern w:val="0"/>
                <w:sz w:val="28"/>
                <w:szCs w:val="28"/>
              </w:rPr>
              <w:t>第一百八十九条</w:t>
            </w:r>
            <w:r>
              <w:rPr>
                <w:rFonts w:ascii="Times New Roman" w:hAnsi="Times New Roman" w:eastAsia="方正仿宋简体" w:cs="Times New Roman"/>
                <w:kern w:val="0"/>
                <w:sz w:val="28"/>
                <w:szCs w:val="28"/>
              </w:rPr>
              <w:t xml:space="preserve">  每一20号胶保税标准仓单名义重量100吨，应当是同一生产企业（工厂）生产的同一品牌、同一包装规格。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600"/>
              <w:rPr>
                <w:rFonts w:ascii="Times New Roman" w:hAnsi="Times New Roman" w:cs="Times New Roman"/>
                <w:sz w:val="28"/>
                <w:szCs w:val="28"/>
              </w:rPr>
            </w:pPr>
            <w:r>
              <w:rPr>
                <w:rFonts w:ascii="Times New Roman" w:hAnsi="Times New Roman" w:eastAsia="方正仿宋简体" w:cs="Times New Roman"/>
                <w:b/>
                <w:kern w:val="0"/>
                <w:sz w:val="28"/>
                <w:szCs w:val="28"/>
              </w:rPr>
              <w:t xml:space="preserve">第一百九十一条 </w:t>
            </w:r>
            <w:r>
              <w:rPr>
                <w:rFonts w:ascii="Times New Roman" w:hAnsi="Times New Roman" w:eastAsia="方正仿宋简体" w:cs="Times New Roman"/>
                <w:kern w:val="0"/>
                <w:sz w:val="28"/>
                <w:szCs w:val="28"/>
              </w:rPr>
              <w:t xml:space="preserve"> 组成每一</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标准仓单的20号胶标准品或替代品的生产日期应当不超过连续30天。每一</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标准仓单20号胶标准品或替代品的最早生产日期为该</w:t>
            </w:r>
            <w:r>
              <w:rPr>
                <w:rFonts w:ascii="Times New Roman" w:hAnsi="Times New Roman" w:eastAsia="方正仿宋简体" w:cs="Times New Roman"/>
                <w:dstrike/>
                <w:kern w:val="0"/>
                <w:sz w:val="28"/>
                <w:szCs w:val="28"/>
              </w:rPr>
              <w:t>保税</w:t>
            </w:r>
            <w:r>
              <w:rPr>
                <w:rFonts w:ascii="Times New Roman" w:hAnsi="Times New Roman" w:eastAsia="方正仿宋简体" w:cs="Times New Roman"/>
                <w:kern w:val="0"/>
                <w:sz w:val="28"/>
                <w:szCs w:val="28"/>
              </w:rPr>
              <w:t>标准仓单的生产日期。20号胶标准品或替代品保税标准仓单的有效期为自标识的生产月份起十二个月止。</w:t>
            </w:r>
            <w:r>
              <w:rPr>
                <w:rFonts w:ascii="Times New Roman" w:hAnsi="Times New Roman" w:eastAsia="方正仿宋简体" w:cs="Times New Roman"/>
                <w:b/>
                <w:color w:val="FF0000"/>
                <w:kern w:val="0"/>
                <w:sz w:val="28"/>
                <w:szCs w:val="28"/>
              </w:rPr>
              <w:t>20号胶境外标准仓单的有效期为签发之日起六个月止，首次交割后立即注销。20号胶境外标准仓单不得转让。</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用于实物交割的20号胶标准品或替代品应当在生产日期起90天内入库，超过90天入库的，不得用于生成保税标准仓单。</w:t>
            </w:r>
          </w:p>
          <w:p>
            <w:pPr>
              <w:spacing w:line="560" w:lineRule="exact"/>
              <w:ind w:firstLine="560" w:firstLineChars="200"/>
              <w:rPr>
                <w:rFonts w:ascii="Times New Roman" w:hAnsi="Times New Roman" w:eastAsia="方正仿宋简体" w:cs="Times New Roman"/>
                <w:b/>
                <w:kern w:val="0"/>
                <w:sz w:val="28"/>
                <w:szCs w:val="28"/>
              </w:rPr>
            </w:pPr>
            <w:r>
              <w:rPr>
                <w:rFonts w:ascii="Times New Roman" w:hAnsi="Times New Roman" w:eastAsia="方正仿宋简体" w:cs="Times New Roman"/>
                <w:sz w:val="28"/>
                <w:szCs w:val="28"/>
              </w:rPr>
              <w:t>入库生成</w:t>
            </w:r>
            <w:r>
              <w:rPr>
                <w:rFonts w:ascii="Times New Roman" w:hAnsi="Times New Roman" w:eastAsia="方正仿宋简体" w:cs="Times New Roman"/>
                <w:b/>
                <w:color w:val="FF0000"/>
                <w:kern w:val="0"/>
                <w:sz w:val="28"/>
                <w:szCs w:val="28"/>
              </w:rPr>
              <w:t>保税</w:t>
            </w:r>
            <w:r>
              <w:rPr>
                <w:rFonts w:ascii="Times New Roman" w:hAnsi="Times New Roman" w:eastAsia="方正仿宋简体" w:cs="Times New Roman"/>
                <w:sz w:val="28"/>
                <w:szCs w:val="28"/>
              </w:rPr>
              <w:t>标准仓单时的20号胶标准品或替代品的检验报告自签发之日起180天内有效，在库商品的检验报告自签发之日起90天内有效。期满后，其相应的商品应当重新检验，合格后方可用于交割。对在库20号胶标准品或替代品重新检验时，质量检验报告不合格的，保税标准仓单持有人对其商品质量承担全部责任，指定交割仓库有责任的除外。</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kern w:val="0"/>
                <w:sz w:val="28"/>
                <w:szCs w:val="28"/>
              </w:rPr>
              <w:t xml:space="preserve">第一百九十一条 </w:t>
            </w:r>
            <w:r>
              <w:rPr>
                <w:rFonts w:ascii="Times New Roman" w:hAnsi="Times New Roman" w:eastAsia="方正仿宋简体" w:cs="Times New Roman"/>
                <w:kern w:val="0"/>
                <w:sz w:val="28"/>
                <w:szCs w:val="28"/>
              </w:rPr>
              <w:t xml:space="preserve"> </w:t>
            </w:r>
            <w:r>
              <w:rPr>
                <w:rFonts w:ascii="Times New Roman" w:hAnsi="Times New Roman" w:eastAsia="方正仿宋简体" w:cs="Times New Roman"/>
                <w:sz w:val="28"/>
                <w:szCs w:val="28"/>
              </w:rPr>
              <w:t>组成每一保税标准仓单的20号胶标准品或替代品的生产日期应当不超过连续30天。每一保税标准仓单20号胶标准品或替代品的最早生产日期为该保税标准仓单的生产日期。20号胶标准品或替代品保税标准仓单的有效期为自标识的生产月份起十二个月止。</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用于实物交割的20号胶标准品或替代品应当在生产日期起90天内入库，超过90天入库的，不得用于生成保税标准仓单。</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入库生成标准仓单时的20号胶标准品或替代品的检验报告自签发之日起180天内有效，在库商品的检验报告自签发之日起90天内有效。期满后，其相应的商品应当重新检验，合格后方可用于交割。对在库20号胶标准品或替代品重新检验时，质量检验报告不合格的，保税标准仓单持有人对其商品质量承担全部责任，指定交割仓库有责任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第一百九十二条</w:t>
            </w:r>
            <w:r>
              <w:rPr>
                <w:rFonts w:ascii="Times New Roman" w:hAnsi="Times New Roman" w:eastAsia="方正仿宋简体" w:cs="Times New Roman"/>
                <w:sz w:val="28"/>
                <w:szCs w:val="28"/>
              </w:rPr>
              <w:t xml:space="preserve">  入库</w:t>
            </w:r>
            <w:r>
              <w:rPr>
                <w:rFonts w:ascii="Times New Roman" w:hAnsi="Times New Roman" w:eastAsia="方正仿宋简体" w:cs="Times New Roman"/>
                <w:b/>
                <w:bCs/>
                <w:color w:val="FF0000"/>
                <w:sz w:val="28"/>
                <w:szCs w:val="28"/>
              </w:rPr>
              <w:t>生成保税标准仓单</w:t>
            </w:r>
            <w:r>
              <w:rPr>
                <w:rFonts w:ascii="Times New Roman" w:hAnsi="Times New Roman" w:eastAsia="方正仿宋简体" w:cs="Times New Roman"/>
                <w:sz w:val="28"/>
                <w:szCs w:val="28"/>
              </w:rPr>
              <w:t>应当按照20号胶（期货）检验细则进行检验。</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厂库标准仓单持有人提货时，可以委托指定检验机构按照20号胶（期货）检验细则，对出库的20号胶标准品或替代品</w:t>
            </w:r>
            <w:r>
              <w:rPr>
                <w:rFonts w:ascii="Times New Roman" w:hAnsi="Times New Roman" w:eastAsia="方正仿宋简体" w:cs="Times New Roman"/>
                <w:b/>
                <w:bCs/>
                <w:color w:val="FF0000"/>
                <w:sz w:val="28"/>
                <w:szCs w:val="28"/>
              </w:rPr>
              <w:t>商品</w:t>
            </w:r>
            <w:r>
              <w:rPr>
                <w:rFonts w:ascii="Times New Roman" w:hAnsi="Times New Roman" w:eastAsia="方正仿宋简体" w:cs="Times New Roman"/>
                <w:b/>
                <w:color w:val="FF0000"/>
                <w:sz w:val="28"/>
                <w:szCs w:val="28"/>
              </w:rPr>
              <w:t>的质量和数</w:t>
            </w:r>
            <w:r>
              <w:rPr>
                <w:rFonts w:hint="eastAsia" w:ascii="Times New Roman" w:hAnsi="Times New Roman" w:eastAsia="方正仿宋简体" w:cs="Times New Roman"/>
                <w:b/>
                <w:color w:val="FF0000"/>
                <w:sz w:val="28"/>
                <w:szCs w:val="28"/>
              </w:rPr>
              <w:t>（重）</w:t>
            </w:r>
            <w:r>
              <w:rPr>
                <w:rFonts w:ascii="Times New Roman" w:hAnsi="Times New Roman" w:eastAsia="方正仿宋简体" w:cs="Times New Roman"/>
                <w:b/>
                <w:color w:val="FF0000"/>
                <w:sz w:val="28"/>
                <w:szCs w:val="28"/>
              </w:rPr>
              <w:t>量进行现场检验，检验费用由厂库标准仓单持有人承担。</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指定交割仓库应当配合指定检验机构的检验工作，并核定20号胶标准品或替代品入出库数（重）量。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20号胶。</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买方未委托指定检验机构进行现场检验的，视为认可境外厂库发货无误，境外厂库、集团交割中心和能源中心不再受理该20号胶对应商品有异议的申请。境外标准仓单质量和数</w:t>
            </w:r>
            <w:r>
              <w:rPr>
                <w:rFonts w:hint="eastAsia" w:ascii="Times New Roman" w:hAnsi="Times New Roman" w:eastAsia="方正仿宋简体" w:cs="Times New Roman"/>
                <w:b/>
                <w:color w:val="FF0000"/>
                <w:sz w:val="28"/>
                <w:szCs w:val="28"/>
              </w:rPr>
              <w:t>（重）</w:t>
            </w:r>
            <w:r>
              <w:rPr>
                <w:rFonts w:ascii="Times New Roman" w:hAnsi="Times New Roman" w:eastAsia="方正仿宋简体" w:cs="Times New Roman"/>
                <w:b/>
                <w:color w:val="FF0000"/>
                <w:sz w:val="28"/>
                <w:szCs w:val="28"/>
              </w:rPr>
              <w:t>量检验</w:t>
            </w:r>
            <w:r>
              <w:rPr>
                <w:rFonts w:ascii="Times New Roman" w:hAnsi="Times New Roman" w:eastAsia="方正仿宋简体" w:cs="Times New Roman"/>
                <w:b/>
                <w:bCs/>
                <w:color w:val="FF0000"/>
                <w:sz w:val="28"/>
                <w:szCs w:val="28"/>
              </w:rPr>
              <w:t>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第一百九十二条</w:t>
            </w:r>
            <w:r>
              <w:rPr>
                <w:rFonts w:ascii="Times New Roman" w:hAnsi="Times New Roman" w:eastAsia="方正仿宋简体" w:cs="Times New Roman"/>
                <w:sz w:val="28"/>
                <w:szCs w:val="28"/>
              </w:rPr>
              <w:t xml:space="preserve">  入库应当按照20号胶（期货）检验细则进行检验。</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指定交割仓库应当配合指定检验机构的检验工作，并核定20号胶标准品或替代品入出库数（重）量。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20号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第一百九十三条 </w:t>
            </w:r>
            <w:r>
              <w:rPr>
                <w:rFonts w:ascii="Times New Roman" w:hAnsi="Times New Roman" w:eastAsia="方正仿宋简体" w:cs="Times New Roman"/>
                <w:sz w:val="28"/>
                <w:szCs w:val="28"/>
              </w:rPr>
              <w:t>货主应当在能源中心批准入库申报后30天内，完成交割商品入库。</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color w:val="FF0000"/>
                <w:sz w:val="28"/>
                <w:szCs w:val="28"/>
              </w:rPr>
              <w:t>厂库标准仓单持有人应当在拟提货日前10日提交提货申请。境外标准仓单提货要求</w:t>
            </w:r>
            <w:r>
              <w:rPr>
                <w:rFonts w:ascii="Times New Roman" w:hAnsi="Times New Roman" w:eastAsia="方正仿宋简体" w:cs="Times New Roman"/>
                <w:b/>
                <w:bCs/>
                <w:color w:val="FF0000"/>
                <w:sz w:val="28"/>
                <w:szCs w:val="28"/>
              </w:rPr>
              <w:t>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第一百九十三条 </w:t>
            </w:r>
            <w:r>
              <w:rPr>
                <w:rFonts w:ascii="Times New Roman" w:hAnsi="Times New Roman" w:eastAsia="方正仿宋简体" w:cs="Times New Roman"/>
                <w:sz w:val="28"/>
                <w:szCs w:val="28"/>
              </w:rPr>
              <w:t>货主应当在能源中心批准入库申报后30天内，完成交割商品入库。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第一百九十四条 </w:t>
            </w:r>
            <w:r>
              <w:rPr>
                <w:rFonts w:ascii="Times New Roman" w:hAnsi="Times New Roman" w:eastAsia="方正仿宋简体" w:cs="Times New Roman"/>
                <w:sz w:val="28"/>
                <w:szCs w:val="28"/>
              </w:rPr>
              <w:t>实物交割完成后，若买方对</w:t>
            </w:r>
            <w:r>
              <w:rPr>
                <w:rFonts w:ascii="Times New Roman" w:hAnsi="Times New Roman" w:eastAsia="方正仿宋简体" w:cs="Times New Roman"/>
                <w:b/>
                <w:bCs/>
                <w:color w:val="FF0000"/>
                <w:sz w:val="28"/>
                <w:szCs w:val="28"/>
              </w:rPr>
              <w:t>仓库标准仓单对应</w:t>
            </w:r>
            <w:r>
              <w:rPr>
                <w:rFonts w:ascii="Times New Roman" w:hAnsi="Times New Roman" w:eastAsia="方正仿宋简体" w:cs="Times New Roman"/>
                <w:sz w:val="28"/>
                <w:szCs w:val="28"/>
              </w:rPr>
              <w:t>交割商品的质量、数量有异议的（有异议的20号胶标准或替代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bCs/>
                <w:color w:val="FF0000"/>
                <w:sz w:val="28"/>
                <w:szCs w:val="28"/>
              </w:rPr>
              <w:t>凡因境外标准仓单引起的或与境外标准仓单有关的任何纠纷和争议，均应由上海金融法院或中华人民共和国其他法院管辖，权利义务关系处理适用中国法律。</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第一百九十四条  </w:t>
            </w:r>
            <w:r>
              <w:rPr>
                <w:rFonts w:ascii="Times New Roman" w:hAnsi="Times New Roman" w:eastAsia="方正仿宋简体" w:cs="Times New Roman"/>
                <w:sz w:val="28"/>
                <w:szCs w:val="28"/>
              </w:rPr>
              <w:t>实物交割完成后，若买方对交割商品的质量、数量有异议的（有异议的20号胶标准或替代交割商品应当在指定交割仓库内），应当在实物交割月份的下一月份的15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第</w:t>
            </w:r>
            <w:r>
              <w:rPr>
                <w:rFonts w:hint="eastAsia" w:ascii="Times New Roman" w:hAnsi="Times New Roman" w:eastAsia="方正仿宋简体" w:cs="Times New Roman"/>
                <w:b/>
                <w:bCs/>
                <w:color w:val="FF0000"/>
                <w:sz w:val="28"/>
                <w:szCs w:val="28"/>
              </w:rPr>
              <w:t>一百九十五</w:t>
            </w:r>
            <w:r>
              <w:rPr>
                <w:rFonts w:ascii="Times New Roman" w:hAnsi="Times New Roman" w:eastAsia="方正仿宋简体" w:cs="Times New Roman"/>
                <w:b/>
                <w:bCs/>
                <w:color w:val="FF0000"/>
                <w:sz w:val="28"/>
                <w:szCs w:val="28"/>
              </w:rPr>
              <w:t>条  境外厂库负责将货物交付至买方指定船舶（装货港码头），完成出口清关手续，并承担货物在装货港越过船舷前所有费用及风险。</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买方负责指定船舶（装货港码头）、卸货港及提货时间，承担货物越过船舷后所有费用及风险。</w:t>
            </w:r>
          </w:p>
          <w:p>
            <w:pPr>
              <w:spacing w:line="560" w:lineRule="exact"/>
              <w:ind w:firstLine="562" w:firstLineChars="200"/>
              <w:rPr>
                <w:rFonts w:ascii="Times New Roman" w:hAnsi="Times New Roman" w:eastAsia="方正仿宋简体" w:cs="Times New Roman"/>
                <w:b/>
                <w:bCs/>
                <w:color w:val="FF0000"/>
                <w:sz w:val="28"/>
                <w:szCs w:val="28"/>
              </w:rPr>
            </w:pPr>
            <w:r>
              <w:rPr>
                <w:rFonts w:ascii="Times New Roman" w:hAnsi="Times New Roman" w:eastAsia="方正仿宋简体" w:cs="Times New Roman"/>
                <w:b/>
                <w:bCs/>
                <w:color w:val="FF0000"/>
                <w:sz w:val="28"/>
                <w:szCs w:val="28"/>
              </w:rPr>
              <w:t>在货物越过船舷后发生意外事故的，境外厂库应当协助买方解决问题，配合买方向保险公司索赔。由买方指定的船舶或任何替代船舶无法及时完成装载时，厂库有权在向买方发出事先书面通知的前提下，将货物交付至其指定的装货港的任何仓库。</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color w:val="FF0000"/>
                <w:sz w:val="28"/>
                <w:szCs w:val="28"/>
              </w:rPr>
              <w:t>买方选择自行到库提货或者委托第三方提货的，对应20号胶商品离开境外厂库后所有费用及风险由买方承担。</w:t>
            </w:r>
          </w:p>
        </w:tc>
        <w:tc>
          <w:tcPr>
            <w:tcW w:w="7370" w:type="dxa"/>
          </w:tcPr>
          <w:p>
            <w:pPr>
              <w:spacing w:line="560" w:lineRule="exact"/>
              <w:ind w:firstLine="562" w:firstLineChars="200"/>
              <w:rPr>
                <w:rFonts w:ascii="Times New Roman" w:hAnsi="Times New Roman" w:eastAsia="方正仿宋简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第一百九十</w:t>
            </w:r>
            <w:r>
              <w:rPr>
                <w:rFonts w:ascii="Times New Roman" w:hAnsi="Times New Roman" w:eastAsia="方正仿宋简体" w:cs="Times New Roman"/>
                <w:b/>
                <w:dstrike/>
                <w:kern w:val="0"/>
                <w:sz w:val="28"/>
                <w:szCs w:val="28"/>
              </w:rPr>
              <w:t>六</w:t>
            </w:r>
            <w:r>
              <w:rPr>
                <w:rFonts w:ascii="Times New Roman" w:hAnsi="Times New Roman" w:eastAsia="方正仿宋简体" w:cs="Times New Roman"/>
                <w:b/>
                <w:color w:val="FF0000"/>
                <w:sz w:val="28"/>
                <w:szCs w:val="28"/>
              </w:rPr>
              <w:t>七</w:t>
            </w:r>
            <w:r>
              <w:rPr>
                <w:rFonts w:ascii="Times New Roman" w:hAnsi="Times New Roman" w:eastAsia="方正仿宋简体" w:cs="Times New Roman"/>
                <w:b/>
                <w:sz w:val="28"/>
                <w:szCs w:val="28"/>
              </w:rPr>
              <w:t xml:space="preserve">条  </w:t>
            </w:r>
            <w:r>
              <w:rPr>
                <w:rFonts w:ascii="Times New Roman" w:hAnsi="Times New Roman" w:eastAsia="方正仿宋简体" w:cs="Times New Roman"/>
                <w:sz w:val="28"/>
                <w:szCs w:val="28"/>
              </w:rPr>
              <w:t>20号胶保税标准仓单交割货款的计算公式为：</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到期合约交割货款=（保税交割结算价＋交割升贴水）×交割数量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期转现交割货款=（期转现保税交割结算价＋交割升贴水）×交割数量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交割结算时，每一保税标准仓单按照100.8吨计算。</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20号胶境外标准仓单交割货款的计算公式为：</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到期合约交割货款=（交割结算价＋交割升贴水）×交割数量</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期转现交割货款=（期转现申请日前一交易日最近月份合约的结算价</w:t>
            </w:r>
            <w:r>
              <w:rPr>
                <w:rFonts w:ascii="Times New Roman" w:hAnsi="Times New Roman" w:eastAsia="方正仿宋简体" w:cs="Times New Roman"/>
                <w:b/>
                <w:bCs/>
                <w:color w:val="FF0000"/>
                <w:sz w:val="28"/>
                <w:szCs w:val="28"/>
              </w:rPr>
              <w:t>＋</w:t>
            </w:r>
            <w:r>
              <w:rPr>
                <w:rFonts w:ascii="Times New Roman" w:hAnsi="Times New Roman" w:eastAsia="方正仿宋简体" w:cs="Times New Roman"/>
                <w:b/>
                <w:color w:val="FF0000"/>
                <w:sz w:val="28"/>
                <w:szCs w:val="28"/>
              </w:rPr>
              <w:t>交割升贴水）×交割数量</w:t>
            </w:r>
          </w:p>
          <w:p>
            <w:pPr>
              <w:spacing w:line="560" w:lineRule="exact"/>
              <w:ind w:firstLine="562" w:firstLineChars="200"/>
              <w:rPr>
                <w:rFonts w:ascii="Times New Roman" w:hAnsi="Times New Roman" w:eastAsia="方正仿宋简体" w:cs="Times New Roman"/>
                <w:b/>
                <w:color w:val="FF0000"/>
                <w:sz w:val="28"/>
                <w:szCs w:val="28"/>
              </w:rPr>
            </w:pPr>
            <w:r>
              <w:rPr>
                <w:rFonts w:ascii="Times New Roman" w:hAnsi="Times New Roman" w:eastAsia="方正仿宋简体" w:cs="Times New Roman"/>
                <w:b/>
                <w:color w:val="FF0000"/>
                <w:sz w:val="28"/>
                <w:szCs w:val="28"/>
              </w:rPr>
              <w:t>交割结算时，每一境外标准仓单按照100.8吨计算。</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20号胶期货合约</w:t>
            </w:r>
            <w:r>
              <w:rPr>
                <w:rFonts w:ascii="Times New Roman" w:hAnsi="Times New Roman" w:eastAsia="方正仿宋简体" w:cs="Times New Roman"/>
                <w:b/>
                <w:bCs/>
                <w:color w:val="FF0000"/>
                <w:sz w:val="28"/>
                <w:szCs w:val="28"/>
              </w:rPr>
              <w:t>保税交割</w:t>
            </w:r>
            <w:r>
              <w:rPr>
                <w:rFonts w:ascii="Times New Roman" w:hAnsi="Times New Roman" w:eastAsia="方正仿宋简体" w:cs="Times New Roman"/>
                <w:sz w:val="28"/>
                <w:szCs w:val="28"/>
              </w:rPr>
              <w:t>的发票要求和管理由能源中心另行公布，发票流转流程按照本细则第二章的规定执行。</w:t>
            </w:r>
          </w:p>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bCs/>
                <w:color w:val="FF0000"/>
                <w:sz w:val="28"/>
                <w:szCs w:val="28"/>
              </w:rPr>
              <w:t>境外交割的发票由卖方向买方开具，买卖双方交割发票、发票开具所需的具体信息等</w:t>
            </w:r>
            <w:r>
              <w:rPr>
                <w:rFonts w:hint="eastAsia" w:ascii="Times New Roman" w:hAnsi="Times New Roman" w:eastAsia="方正仿宋简体" w:cs="Times New Roman"/>
                <w:b/>
                <w:bCs/>
                <w:color w:val="FF0000"/>
                <w:sz w:val="28"/>
                <w:szCs w:val="28"/>
              </w:rPr>
              <w:t>应当</w:t>
            </w:r>
            <w:r>
              <w:rPr>
                <w:rFonts w:ascii="Times New Roman" w:hAnsi="Times New Roman" w:eastAsia="方正仿宋简体" w:cs="Times New Roman"/>
                <w:b/>
                <w:bCs/>
                <w:color w:val="FF0000"/>
                <w:sz w:val="28"/>
                <w:szCs w:val="28"/>
              </w:rPr>
              <w:t>由</w:t>
            </w:r>
            <w:r>
              <w:rPr>
                <w:rFonts w:hint="eastAsia" w:ascii="Times New Roman" w:hAnsi="Times New Roman" w:eastAsia="方正仿宋简体" w:cs="Times New Roman"/>
                <w:b/>
                <w:bCs/>
                <w:color w:val="FF0000"/>
                <w:sz w:val="28"/>
                <w:szCs w:val="28"/>
              </w:rPr>
              <w:t>双方</w:t>
            </w:r>
            <w:r>
              <w:rPr>
                <w:rFonts w:ascii="Times New Roman" w:hAnsi="Times New Roman" w:eastAsia="方正仿宋简体" w:cs="Times New Roman"/>
                <w:b/>
                <w:bCs/>
                <w:color w:val="FF0000"/>
                <w:sz w:val="28"/>
                <w:szCs w:val="28"/>
              </w:rPr>
              <w:t>会员进行核实、传递及确认，双方会员负责调解、处理相关纠纷。境外特殊经纪参与者、境外中介机构应协助会员进行交割发票、发票开具所需具体信息等的核实、传递及确认，并协助会员调解、处理相关纠纷。境外交割的发票要求和管理、发票流转流程等由能源中心另行规定。</w:t>
            </w:r>
          </w:p>
        </w:tc>
        <w:tc>
          <w:tcPr>
            <w:tcW w:w="7370" w:type="dxa"/>
          </w:tcPr>
          <w:p>
            <w:pPr>
              <w:spacing w:line="560" w:lineRule="exact"/>
              <w:ind w:firstLine="562"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 xml:space="preserve">第一百九十六条  </w:t>
            </w:r>
            <w:r>
              <w:rPr>
                <w:rFonts w:ascii="Times New Roman" w:hAnsi="Times New Roman" w:eastAsia="方正仿宋简体" w:cs="Times New Roman"/>
                <w:sz w:val="28"/>
                <w:szCs w:val="28"/>
              </w:rPr>
              <w:t>20号胶保税标准仓单交割货款的计算公式为：</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到期合约交割货款=（保税交割结算价＋交割升贴水）×交割数量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期转现交割货款=（期转现保税交割结算价＋交割升贴水）×交割数量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交割结算时，每一保税标准仓单按照100.8吨计算。</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20号胶期货合约的发票要求和管理由能源中心另行公布，发票流转流程按照本细则第二章的规定执行。</w:t>
            </w:r>
          </w:p>
          <w:p>
            <w:pPr>
              <w:spacing w:line="560" w:lineRule="exact"/>
              <w:ind w:firstLine="562" w:firstLineChars="200"/>
              <w:rPr>
                <w:rFonts w:ascii="Times New Roman" w:hAnsi="Times New Roman" w:eastAsia="方正仿宋简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第二百二十</w:t>
            </w:r>
            <w:r>
              <w:rPr>
                <w:rFonts w:ascii="Times New Roman" w:hAnsi="Times New Roman" w:eastAsia="方正仿宋简体" w:cs="Times New Roman"/>
                <w:b/>
                <w:dstrike/>
                <w:sz w:val="28"/>
                <w:szCs w:val="28"/>
              </w:rPr>
              <w:t>四</w:t>
            </w:r>
            <w:r>
              <w:rPr>
                <w:rFonts w:ascii="Times New Roman" w:hAnsi="Times New Roman" w:eastAsia="方正仿宋简体" w:cs="Times New Roman"/>
                <w:b/>
                <w:color w:val="FF0000"/>
                <w:sz w:val="28"/>
                <w:szCs w:val="28"/>
              </w:rPr>
              <w:t>五</w:t>
            </w:r>
            <w:r>
              <w:rPr>
                <w:rFonts w:ascii="Times New Roman" w:hAnsi="Times New Roman" w:eastAsia="方正仿宋简体" w:cs="Times New Roman"/>
                <w:b/>
                <w:sz w:val="28"/>
                <w:szCs w:val="28"/>
              </w:rPr>
              <w:t xml:space="preserve">条 </w:t>
            </w:r>
            <w:r>
              <w:rPr>
                <w:rFonts w:ascii="Times New Roman" w:hAnsi="Times New Roman" w:eastAsia="方正仿宋简体" w:cs="Times New Roman"/>
                <w:sz w:val="28"/>
                <w:szCs w:val="28"/>
              </w:rPr>
              <w:t>本细则自</w:t>
            </w:r>
            <w:r>
              <w:rPr>
                <w:rFonts w:ascii="Times New Roman" w:hAnsi="Times New Roman" w:eastAsia="方正仿宋简体" w:cs="Times New Roman"/>
                <w:dstrike w:val="0"/>
                <w:sz w:val="28"/>
                <w:szCs w:val="28"/>
              </w:rPr>
              <w:t>2026</w:t>
            </w:r>
            <w:r>
              <w:rPr>
                <w:rFonts w:ascii="Times New Roman" w:hAnsi="Times New Roman" w:eastAsia="方正仿宋简体" w:cs="Times New Roman"/>
                <w:sz w:val="28"/>
                <w:szCs w:val="28"/>
              </w:rPr>
              <w:t>年</w:t>
            </w:r>
            <w:r>
              <w:rPr>
                <w:rFonts w:hint="eastAsia" w:ascii="Times New Roman" w:hAnsi="Times New Roman" w:eastAsia="方正仿宋简体" w:cs="Times New Roman"/>
                <w:dstrike/>
                <w:sz w:val="28"/>
                <w:szCs w:val="28"/>
                <w:lang w:val="en-US" w:eastAsia="zh-CN"/>
              </w:rPr>
              <w:t>6</w:t>
            </w:r>
            <w:r>
              <w:rPr>
                <w:rFonts w:hint="eastAsia" w:ascii="Times New Roman" w:hAnsi="Times New Roman" w:eastAsia="方正仿宋简体" w:cs="Times New Roman"/>
                <w:b/>
                <w:color w:val="FF0000"/>
                <w:sz w:val="28"/>
                <w:szCs w:val="28"/>
                <w:lang w:val="en-US" w:eastAsia="zh-CN"/>
              </w:rPr>
              <w:t>7</w:t>
            </w:r>
            <w:r>
              <w:rPr>
                <w:rFonts w:ascii="Times New Roman" w:hAnsi="Times New Roman" w:eastAsia="方正仿宋简体" w:cs="Times New Roman"/>
                <w:sz w:val="28"/>
                <w:szCs w:val="28"/>
              </w:rPr>
              <w:t>月</w:t>
            </w:r>
            <w:r>
              <w:rPr>
                <w:rFonts w:hint="eastAsia" w:ascii="Times New Roman" w:hAnsi="Times New Roman" w:eastAsia="方正仿宋简体" w:cs="Times New Roman"/>
                <w:dstrike/>
                <w:sz w:val="28"/>
                <w:szCs w:val="28"/>
                <w:lang w:val="en-US" w:eastAsia="zh-CN"/>
              </w:rPr>
              <w:t>18</w:t>
            </w:r>
            <w:r>
              <w:rPr>
                <w:rFonts w:hint="eastAsia" w:ascii="Times New Roman" w:hAnsi="Times New Roman" w:eastAsia="方正仿宋简体" w:cs="Times New Roman"/>
                <w:b/>
                <w:color w:val="FF0000"/>
                <w:sz w:val="28"/>
                <w:szCs w:val="28"/>
                <w:lang w:val="en-US" w:eastAsia="zh-CN"/>
              </w:rPr>
              <w:t>25</w:t>
            </w:r>
            <w:r>
              <w:rPr>
                <w:rFonts w:ascii="Times New Roman" w:hAnsi="Times New Roman" w:eastAsia="方正仿宋简体" w:cs="Times New Roman"/>
                <w:sz w:val="28"/>
                <w:szCs w:val="28"/>
              </w:rPr>
              <w:t>日起实施。</w:t>
            </w:r>
            <w:bookmarkStart w:id="0" w:name="_GoBack"/>
            <w:bookmarkEnd w:id="0"/>
          </w:p>
        </w:tc>
        <w:tc>
          <w:tcPr>
            <w:tcW w:w="7370" w:type="dxa"/>
          </w:tcPr>
          <w:p>
            <w:pPr>
              <w:spacing w:line="560" w:lineRule="exact"/>
              <w:ind w:firstLine="562"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 xml:space="preserve">第二百二十四条 </w:t>
            </w:r>
            <w:r>
              <w:rPr>
                <w:rFonts w:ascii="Times New Roman" w:hAnsi="Times New Roman" w:eastAsia="方正仿宋简体" w:cs="Times New Roman"/>
                <w:sz w:val="28"/>
                <w:szCs w:val="28"/>
              </w:rPr>
              <w:t>本细则自2026年</w:t>
            </w:r>
            <w:r>
              <w:rPr>
                <w:rFonts w:hint="eastAsia" w:ascii="Times New Roman" w:hAnsi="Times New Roman" w:eastAsia="方正仿宋简体" w:cs="Times New Roman"/>
                <w:sz w:val="28"/>
                <w:szCs w:val="28"/>
                <w:lang w:val="en-US" w:eastAsia="zh-CN"/>
              </w:rPr>
              <w:t>6</w:t>
            </w:r>
            <w:r>
              <w:rPr>
                <w:rFonts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18</w:t>
            </w:r>
            <w:r>
              <w:rPr>
                <w:rFonts w:ascii="Times New Roman" w:hAnsi="Times New Roman" w:eastAsia="方正仿宋简体" w:cs="Times New Roman"/>
                <w:sz w:val="28"/>
                <w:szCs w:val="28"/>
              </w:rPr>
              <w:t>日起实施。</w:t>
            </w:r>
          </w:p>
        </w:tc>
      </w:tr>
    </w:tbl>
    <w:p>
      <w:pPr>
        <w:rPr>
          <w:rFonts w:ascii="Times New Roman" w:hAnsi="Times New Roman" w:cs="Times New Roman"/>
          <w:sz w:val="28"/>
          <w:szCs w:val="28"/>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4"/>
      </w:rPr>
      <w:id w:val="272822110"/>
    </w:sdtPr>
    <w:sdtEndPr>
      <w:rPr>
        <w:rFonts w:hint="default" w:ascii="Times New Roman" w:hAnsi="Times New Roman" w:cs="Times New Roman"/>
        <w:sz w:val="24"/>
      </w:rPr>
    </w:sdtEndPr>
    <w:sdtContent>
      <w:p>
        <w:pPr>
          <w:pStyle w:val="4"/>
          <w:jc w:val="center"/>
          <w:rPr>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PAGE   \* MERGEFORMAT</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w:t>
        </w:r>
        <w:r>
          <w:rPr>
            <w:rFonts w:hint="default" w:ascii="Times New Roman" w:hAnsi="Times New Roman" w:cs="Times New Roman"/>
            <w:sz w:val="24"/>
          </w:rPr>
          <w:t xml:space="preserve"> 19 -</w:t>
        </w:r>
        <w:r>
          <w:rPr>
            <w:rFonts w:hint="default" w:ascii="Times New Roman" w:hAnsi="Times New Roman" w:cs="Times New Roman"/>
            <w:sz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82"/>
    <w:rsid w:val="00000147"/>
    <w:rsid w:val="000007CD"/>
    <w:rsid w:val="00012778"/>
    <w:rsid w:val="000243B2"/>
    <w:rsid w:val="00034F52"/>
    <w:rsid w:val="00037413"/>
    <w:rsid w:val="000547FF"/>
    <w:rsid w:val="00060C67"/>
    <w:rsid w:val="00075491"/>
    <w:rsid w:val="0008174E"/>
    <w:rsid w:val="000A57CE"/>
    <w:rsid w:val="000C3AAA"/>
    <w:rsid w:val="000C5B89"/>
    <w:rsid w:val="000D2E1A"/>
    <w:rsid w:val="000D3D84"/>
    <w:rsid w:val="000F7014"/>
    <w:rsid w:val="001009E9"/>
    <w:rsid w:val="00101DA0"/>
    <w:rsid w:val="00112881"/>
    <w:rsid w:val="00117CB3"/>
    <w:rsid w:val="00124048"/>
    <w:rsid w:val="0013053C"/>
    <w:rsid w:val="00135873"/>
    <w:rsid w:val="00146BBB"/>
    <w:rsid w:val="001613C7"/>
    <w:rsid w:val="00166D10"/>
    <w:rsid w:val="00167A27"/>
    <w:rsid w:val="00172213"/>
    <w:rsid w:val="0017496E"/>
    <w:rsid w:val="00184604"/>
    <w:rsid w:val="00190A4D"/>
    <w:rsid w:val="001A6E9E"/>
    <w:rsid w:val="001B2E98"/>
    <w:rsid w:val="001C148B"/>
    <w:rsid w:val="001C1FBC"/>
    <w:rsid w:val="001C2263"/>
    <w:rsid w:val="001D7BAD"/>
    <w:rsid w:val="001E2A15"/>
    <w:rsid w:val="00202907"/>
    <w:rsid w:val="00227A24"/>
    <w:rsid w:val="00236106"/>
    <w:rsid w:val="00237726"/>
    <w:rsid w:val="00241DD1"/>
    <w:rsid w:val="00266DE7"/>
    <w:rsid w:val="002922FD"/>
    <w:rsid w:val="002A39B0"/>
    <w:rsid w:val="002A7917"/>
    <w:rsid w:val="002B0850"/>
    <w:rsid w:val="002B3FBB"/>
    <w:rsid w:val="002E4F5D"/>
    <w:rsid w:val="002E510E"/>
    <w:rsid w:val="002F3CC2"/>
    <w:rsid w:val="002F6C08"/>
    <w:rsid w:val="00301812"/>
    <w:rsid w:val="003102AA"/>
    <w:rsid w:val="003201CD"/>
    <w:rsid w:val="003542A6"/>
    <w:rsid w:val="00356AFE"/>
    <w:rsid w:val="00365E11"/>
    <w:rsid w:val="003B1107"/>
    <w:rsid w:val="003B1F85"/>
    <w:rsid w:val="003B529C"/>
    <w:rsid w:val="003D5B0A"/>
    <w:rsid w:val="003E4751"/>
    <w:rsid w:val="004016B1"/>
    <w:rsid w:val="004131F8"/>
    <w:rsid w:val="0042019C"/>
    <w:rsid w:val="004327EB"/>
    <w:rsid w:val="00432DBB"/>
    <w:rsid w:val="00433ADF"/>
    <w:rsid w:val="0043500E"/>
    <w:rsid w:val="00446777"/>
    <w:rsid w:val="004472F7"/>
    <w:rsid w:val="00450A6F"/>
    <w:rsid w:val="0046492B"/>
    <w:rsid w:val="00466FC7"/>
    <w:rsid w:val="00467F34"/>
    <w:rsid w:val="0047026C"/>
    <w:rsid w:val="00496C7C"/>
    <w:rsid w:val="004A137C"/>
    <w:rsid w:val="004A3585"/>
    <w:rsid w:val="004B40CF"/>
    <w:rsid w:val="004B7AEF"/>
    <w:rsid w:val="004C6D9E"/>
    <w:rsid w:val="004C73ED"/>
    <w:rsid w:val="004C7D7F"/>
    <w:rsid w:val="004E3EFB"/>
    <w:rsid w:val="004F3505"/>
    <w:rsid w:val="004F6872"/>
    <w:rsid w:val="00500111"/>
    <w:rsid w:val="00501412"/>
    <w:rsid w:val="00504693"/>
    <w:rsid w:val="00507E72"/>
    <w:rsid w:val="005100E0"/>
    <w:rsid w:val="00512E65"/>
    <w:rsid w:val="005240F7"/>
    <w:rsid w:val="00525BC5"/>
    <w:rsid w:val="00527306"/>
    <w:rsid w:val="00527995"/>
    <w:rsid w:val="00531C39"/>
    <w:rsid w:val="00535C60"/>
    <w:rsid w:val="00537115"/>
    <w:rsid w:val="00572C4C"/>
    <w:rsid w:val="00573B15"/>
    <w:rsid w:val="00577F68"/>
    <w:rsid w:val="005862B4"/>
    <w:rsid w:val="005A417C"/>
    <w:rsid w:val="005C19B6"/>
    <w:rsid w:val="005C4B37"/>
    <w:rsid w:val="005D0A5C"/>
    <w:rsid w:val="005D5CE6"/>
    <w:rsid w:val="005E45F1"/>
    <w:rsid w:val="005E7C28"/>
    <w:rsid w:val="005F15B1"/>
    <w:rsid w:val="005F4679"/>
    <w:rsid w:val="006007E5"/>
    <w:rsid w:val="0061007A"/>
    <w:rsid w:val="00623AD9"/>
    <w:rsid w:val="006314B8"/>
    <w:rsid w:val="0063153B"/>
    <w:rsid w:val="00635861"/>
    <w:rsid w:val="0063712F"/>
    <w:rsid w:val="006525BA"/>
    <w:rsid w:val="00657AD0"/>
    <w:rsid w:val="00662EDC"/>
    <w:rsid w:val="006838A0"/>
    <w:rsid w:val="00687B56"/>
    <w:rsid w:val="00690466"/>
    <w:rsid w:val="006947FB"/>
    <w:rsid w:val="00696A09"/>
    <w:rsid w:val="006B6132"/>
    <w:rsid w:val="006C4371"/>
    <w:rsid w:val="006E251D"/>
    <w:rsid w:val="006F06D9"/>
    <w:rsid w:val="006F326B"/>
    <w:rsid w:val="007035A5"/>
    <w:rsid w:val="00706FD3"/>
    <w:rsid w:val="0073459B"/>
    <w:rsid w:val="0074034C"/>
    <w:rsid w:val="007563E6"/>
    <w:rsid w:val="00761A9A"/>
    <w:rsid w:val="007621AA"/>
    <w:rsid w:val="00763542"/>
    <w:rsid w:val="00764998"/>
    <w:rsid w:val="00773C1B"/>
    <w:rsid w:val="0077494C"/>
    <w:rsid w:val="007754B7"/>
    <w:rsid w:val="00781483"/>
    <w:rsid w:val="007A35DB"/>
    <w:rsid w:val="007A52F6"/>
    <w:rsid w:val="007B2B98"/>
    <w:rsid w:val="007C2AB4"/>
    <w:rsid w:val="007E50AB"/>
    <w:rsid w:val="007F6487"/>
    <w:rsid w:val="00805145"/>
    <w:rsid w:val="00811742"/>
    <w:rsid w:val="00827E8B"/>
    <w:rsid w:val="008358A4"/>
    <w:rsid w:val="00857681"/>
    <w:rsid w:val="0088265C"/>
    <w:rsid w:val="008837DE"/>
    <w:rsid w:val="008A4F47"/>
    <w:rsid w:val="008C1D4E"/>
    <w:rsid w:val="008D07C0"/>
    <w:rsid w:val="008D7337"/>
    <w:rsid w:val="008E2A9B"/>
    <w:rsid w:val="009034E7"/>
    <w:rsid w:val="009038FC"/>
    <w:rsid w:val="00903B43"/>
    <w:rsid w:val="00913AFB"/>
    <w:rsid w:val="00913F3F"/>
    <w:rsid w:val="00916448"/>
    <w:rsid w:val="00926DEA"/>
    <w:rsid w:val="00930801"/>
    <w:rsid w:val="00941141"/>
    <w:rsid w:val="00947AD4"/>
    <w:rsid w:val="0096027C"/>
    <w:rsid w:val="00962C13"/>
    <w:rsid w:val="00965F03"/>
    <w:rsid w:val="00967CB0"/>
    <w:rsid w:val="0097256E"/>
    <w:rsid w:val="0098001D"/>
    <w:rsid w:val="00984C74"/>
    <w:rsid w:val="00985C49"/>
    <w:rsid w:val="009868D2"/>
    <w:rsid w:val="00991504"/>
    <w:rsid w:val="009B4270"/>
    <w:rsid w:val="009B45DF"/>
    <w:rsid w:val="009B462B"/>
    <w:rsid w:val="009C37E9"/>
    <w:rsid w:val="009D6FF7"/>
    <w:rsid w:val="00A006B6"/>
    <w:rsid w:val="00A1235B"/>
    <w:rsid w:val="00A27A36"/>
    <w:rsid w:val="00A30315"/>
    <w:rsid w:val="00A30A9F"/>
    <w:rsid w:val="00A35CC0"/>
    <w:rsid w:val="00A428FA"/>
    <w:rsid w:val="00A60342"/>
    <w:rsid w:val="00A81B8F"/>
    <w:rsid w:val="00A8434E"/>
    <w:rsid w:val="00A85D4D"/>
    <w:rsid w:val="00A8657B"/>
    <w:rsid w:val="00AA6124"/>
    <w:rsid w:val="00AB2527"/>
    <w:rsid w:val="00AB51FA"/>
    <w:rsid w:val="00AB6EA4"/>
    <w:rsid w:val="00AC11A9"/>
    <w:rsid w:val="00AC513E"/>
    <w:rsid w:val="00AC696B"/>
    <w:rsid w:val="00AC6FF1"/>
    <w:rsid w:val="00AD083B"/>
    <w:rsid w:val="00AF0231"/>
    <w:rsid w:val="00AF06E1"/>
    <w:rsid w:val="00AF1919"/>
    <w:rsid w:val="00B05344"/>
    <w:rsid w:val="00B17C05"/>
    <w:rsid w:val="00B24316"/>
    <w:rsid w:val="00B27D13"/>
    <w:rsid w:val="00B40BFC"/>
    <w:rsid w:val="00B5073C"/>
    <w:rsid w:val="00B57EED"/>
    <w:rsid w:val="00B70A23"/>
    <w:rsid w:val="00B71B72"/>
    <w:rsid w:val="00B764F8"/>
    <w:rsid w:val="00B906DD"/>
    <w:rsid w:val="00B9599C"/>
    <w:rsid w:val="00BA32A6"/>
    <w:rsid w:val="00BA6500"/>
    <w:rsid w:val="00BB6598"/>
    <w:rsid w:val="00BC4FCB"/>
    <w:rsid w:val="00BC70ED"/>
    <w:rsid w:val="00BD1632"/>
    <w:rsid w:val="00BE2006"/>
    <w:rsid w:val="00BE30D5"/>
    <w:rsid w:val="00C033B6"/>
    <w:rsid w:val="00C1730B"/>
    <w:rsid w:val="00C20F77"/>
    <w:rsid w:val="00C30F3A"/>
    <w:rsid w:val="00C31777"/>
    <w:rsid w:val="00C334A6"/>
    <w:rsid w:val="00C33C24"/>
    <w:rsid w:val="00C427D8"/>
    <w:rsid w:val="00C43952"/>
    <w:rsid w:val="00C46C1F"/>
    <w:rsid w:val="00C52712"/>
    <w:rsid w:val="00C62C02"/>
    <w:rsid w:val="00C63ADA"/>
    <w:rsid w:val="00C825F9"/>
    <w:rsid w:val="00C85D1A"/>
    <w:rsid w:val="00C93552"/>
    <w:rsid w:val="00CB0203"/>
    <w:rsid w:val="00CB6913"/>
    <w:rsid w:val="00D03EC9"/>
    <w:rsid w:val="00D10A9B"/>
    <w:rsid w:val="00D15CCD"/>
    <w:rsid w:val="00D40D7A"/>
    <w:rsid w:val="00D5221D"/>
    <w:rsid w:val="00D55162"/>
    <w:rsid w:val="00D627B8"/>
    <w:rsid w:val="00D64372"/>
    <w:rsid w:val="00D66D77"/>
    <w:rsid w:val="00D705E9"/>
    <w:rsid w:val="00D7698A"/>
    <w:rsid w:val="00D86412"/>
    <w:rsid w:val="00D94A3E"/>
    <w:rsid w:val="00DA18D7"/>
    <w:rsid w:val="00DA1949"/>
    <w:rsid w:val="00DA5356"/>
    <w:rsid w:val="00DA58D3"/>
    <w:rsid w:val="00DA6FB9"/>
    <w:rsid w:val="00DB66A6"/>
    <w:rsid w:val="00DD6FF4"/>
    <w:rsid w:val="00DE0B03"/>
    <w:rsid w:val="00E46C1A"/>
    <w:rsid w:val="00E52BBA"/>
    <w:rsid w:val="00E57390"/>
    <w:rsid w:val="00E64071"/>
    <w:rsid w:val="00E66F7E"/>
    <w:rsid w:val="00E71D17"/>
    <w:rsid w:val="00E75E2F"/>
    <w:rsid w:val="00E77F55"/>
    <w:rsid w:val="00E86231"/>
    <w:rsid w:val="00EA135F"/>
    <w:rsid w:val="00EC547B"/>
    <w:rsid w:val="00EC6A74"/>
    <w:rsid w:val="00ED4080"/>
    <w:rsid w:val="00ED53AF"/>
    <w:rsid w:val="00EE3642"/>
    <w:rsid w:val="00EE4F46"/>
    <w:rsid w:val="00EF69B6"/>
    <w:rsid w:val="00F00214"/>
    <w:rsid w:val="00F01F95"/>
    <w:rsid w:val="00F418B7"/>
    <w:rsid w:val="00F44382"/>
    <w:rsid w:val="00F44966"/>
    <w:rsid w:val="00F4709F"/>
    <w:rsid w:val="00F64260"/>
    <w:rsid w:val="00F6753B"/>
    <w:rsid w:val="00F80B79"/>
    <w:rsid w:val="00F839A6"/>
    <w:rsid w:val="00F9178F"/>
    <w:rsid w:val="00F94D26"/>
    <w:rsid w:val="00FC6E58"/>
    <w:rsid w:val="00FD6B9F"/>
    <w:rsid w:val="00FD7C68"/>
    <w:rsid w:val="00FE296B"/>
    <w:rsid w:val="023E1BBB"/>
    <w:rsid w:val="073321EF"/>
    <w:rsid w:val="13083D91"/>
    <w:rsid w:val="146C64E4"/>
    <w:rsid w:val="1C294840"/>
    <w:rsid w:val="1DA85E78"/>
    <w:rsid w:val="20A4299B"/>
    <w:rsid w:val="2A372A05"/>
    <w:rsid w:val="308D3CB6"/>
    <w:rsid w:val="33FF5F7A"/>
    <w:rsid w:val="342B475B"/>
    <w:rsid w:val="3FA74174"/>
    <w:rsid w:val="4C10455D"/>
    <w:rsid w:val="4FDD921F"/>
    <w:rsid w:val="5217023B"/>
    <w:rsid w:val="54645881"/>
    <w:rsid w:val="579953C3"/>
    <w:rsid w:val="63ED5D7D"/>
    <w:rsid w:val="66243EE4"/>
    <w:rsid w:val="66DF16D1"/>
    <w:rsid w:val="76D64613"/>
    <w:rsid w:val="78646301"/>
    <w:rsid w:val="7F0C557C"/>
    <w:rsid w:val="7FF985EE"/>
    <w:rsid w:val="E66F5E42"/>
    <w:rsid w:val="F397CBD0"/>
    <w:rsid w:val="FF71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18</Pages>
  <Words>4097</Words>
  <Characters>4138</Characters>
  <Lines>206</Lines>
  <Paragraphs>139</Paragraphs>
  <TotalTime>1519</TotalTime>
  <ScaleCrop>false</ScaleCrop>
  <LinksUpToDate>false</LinksUpToDate>
  <CharactersWithSpaces>8096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2025-06-19T06:35:00Z</dcterms:created>
  <dc:creator>姚煜骅</dc:creator>
  <cp:lastModifiedBy>zhang.hui</cp:lastModifiedBy>
  <cp:lastPrinted>2026-06-05T18:35:00Z</cp:lastPrinted>
  <dcterms:modified xsi:type="dcterms:W3CDTF">2026-06-25T09:38:40Z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43B632BADB5D405AA166486E8A90D80F</vt:lpwstr>
  </property>
</Properties>
</file>