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40"/>
          <w:szCs w:val="40"/>
        </w:rPr>
        <w:t>结算价交易（TAS）指令说明书</w:t>
      </w:r>
    </w:p>
    <w:p>
      <w:pPr>
        <w:widowControl/>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一、指令使用基本规定</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（一）结算价交易（TAS）指令是以某一期货合约（以下简称适用合约）的当日结算价或当日结算价增减若干个最小变动价位为买卖申报价格的交易指令。适用合约范围由能源中心规定。</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（二）TAS指令只能与同一合约的TAS指令撮合成交，在集合竞价阶段采用最大成交量原则进行撮合，在连续竞价交易阶段采用价格优先、时间优先原则进行撮合。</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（三）TAS指令成交后，成交价按照撮合原则产生，并在适用合约当日结算价生成后确定。该价格不得超出适用合约涨跌停板价。</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（四）TAS指令在申报时区分开仓、平今、平昨属性和一般、套保属性。</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（五）TAS指令暂不支持立即全部成交否则自动撤销（FOK）属性和立即成交剩余指令自动撤销（FAK）属性。</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（六）TAS指令可以在集合竞价阶段、第一节交易时间和日盘10:30-11:30使用，TAS交易时间结束后，所有未成交的TAS指令申报将由系统自动撤销。</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二、指令使用的特别说明</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（一）适用合约的交易权限、单笔下单限制适用于TAS指令；关于限仓管理、套期保值额度和交易限额等，TAS交易指令与适用合约其他交易指令合并计算。</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（二）适用合约以涨跌停板价格成交时，或者TAS指令以增减最多个最小变动价位成交时，TAS指令的成交撮合均不适用平仓优先的原则，也不计入适用合约的单边市判定。</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（三）盘中发布行情时，TAS指令无成交金额行情，成交量不计入适用合约的成交量，持仓量计入适用合约的持仓量变化。在收市结算后的统计数据中，TAS指令的成交金额（量）计入适用合约的成交金额（量）。</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四）交易所在交易时段，对以TAS指令进行交易的，以该适用合约上一日结算价计算应冻结或应释放保证金，并适用单向大边保证金机制（组合保证金机制推出后，适用组合保证金机制）。交易所在日终结算时，对以TAS指令交易形成的持仓，以该适用合约当日结算价计算应收保证金，并适用单向大边保证金机制（组合保证金机制推出后，适用组合保证金机制）。</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三、指令使用示例</w:t>
      </w:r>
    </w:p>
    <w:p>
      <w:pPr>
        <w:widowControl/>
        <w:spacing w:line="560" w:lineRule="atLeast"/>
        <w:ind w:firstLine="602"/>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（一）开新仓示例1</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某客户在SC2308合约上无持仓，今日在SC2308合约上下达40手TAS指令买入、一般、开仓申报，与该合约当前存在的15手TAS指令卖申报以1.2元/桶成交。此时将成交15手，该客户在SC2308合约持仓为多头、一般、今仓15手。剩余的25手申报在11:30前未成交，被系统全部撤销。</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当日收市结算后，SC2308合约结算价为560.7元/桶，该客户该笔TAS指令成交的15手的成交价确定为561.9元/桶。</w:t>
      </w:r>
    </w:p>
    <w:p>
      <w:pPr>
        <w:widowControl/>
        <w:spacing w:line="560" w:lineRule="atLeast"/>
        <w:ind w:firstLine="602"/>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（二）开新仓示例2</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某客户在SC2309合约上无持仓，今日下达10手TAS指令卖出、一般、开仓申报，以-0.8元/桶成交5手后，在SC2309合约持仓空头、一般、今仓5手。此后，该客户在该合约下达3手限价指令（非TAS指令）买入、一般、平今申报，成交3手后，该客户在SC2309合约上的空头、一般、今仓减至2手。</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当日收市结算后，SC2309合约结算价为559.6元/桶，该客户TAS指令成交的5手的成交价确定为558.8元/桶。</w:t>
      </w:r>
    </w:p>
    <w:p>
      <w:pPr>
        <w:widowControl/>
        <w:spacing w:line="560" w:lineRule="atLeast"/>
        <w:ind w:firstLine="602"/>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（三）平今仓示例</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某客户在SC2309合约上无持仓，今日下达10手限价指令（非TAS指令）卖出、一般、开仓申报，成交4手后，在SC2309合约持仓为空头、一般、今仓4手。此后，该客户在该合约下达1手TAS指令买入、一般、平今申报，以0元/桶成交1手后，该客户在SC2309合约上的空头、一般、今仓减至3手。</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当日收市结算后，SC2309合约结算价为559.6元/桶，该客户该笔TAS指令成交的1手的成交价确定为559.6元/桶。</w:t>
      </w:r>
    </w:p>
    <w:p>
      <w:pPr>
        <w:widowControl/>
        <w:spacing w:line="560" w:lineRule="atLeast"/>
        <w:ind w:firstLine="602"/>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（四）平昨仓示例</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某客户在SC2310合约上拥有50手多头、套保、昨仓，今日下达50手TAS指令卖出、套保、平昨申报，以-1.0元/桶成交40手后，该客户在SC2310合约上的多头、套保、昨仓减至10手。</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当日收市结算后，SC2310合约结算价为553.7元/桶，该客户该笔TAS指令成交的40手的成交价确定为552.7元/桶。</w:t>
      </w:r>
    </w:p>
    <w:p>
      <w:pPr>
        <w:widowControl/>
        <w:spacing w:line="560" w:lineRule="atLeast"/>
        <w:ind w:firstLine="602"/>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（五）TAS成交价触及涨跌停板</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某一交易日，SC2311合约跌停板价为551.2元/桶。某客户在SC2311合约上无持仓，当日下达10手TAS指令卖出、一般、开仓申报，以-2.0元/桶成交5手后，在SC2311合约持仓空头、一般、今仓5手。</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当日收市结算后，SC2311合约结算价为552.9元/桶。根据规定，TAS成交价不得高于合约涨停板价或低于合约跌停板价，因此，该客户该笔TAS指令成交的5手的成交价确定为551.2元/桶。</w:t>
      </w:r>
    </w:p>
    <w:p>
      <w:pPr>
        <w:widowControl/>
        <w:spacing w:line="560" w:lineRule="atLeas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br w:type="page"/>
      </w:r>
    </w:p>
    <w:p>
      <w:pPr>
        <w:widowControl/>
        <w:spacing w:line="560" w:lineRule="atLeast"/>
        <w:jc w:val="center"/>
        <w:rPr>
          <w:rFonts w:hint="default" w:ascii="Times New Roman" w:hAnsi="Times New Roman" w:eastAsia="方正仿宋简体" w:cs="Times New Roman"/>
          <w:color w:val="000000"/>
          <w:kern w:val="0"/>
          <w:sz w:val="20"/>
          <w:szCs w:val="20"/>
        </w:rPr>
      </w:pPr>
      <w:bookmarkStart w:id="0" w:name="_GoBack"/>
      <w:bookmarkEnd w:id="0"/>
      <w:r>
        <w:rPr>
          <w:rFonts w:hint="default" w:ascii="Times New Roman" w:hAnsi="Times New Roman" w:eastAsia="方正仿宋简体" w:cs="Times New Roman"/>
          <w:color w:val="000000"/>
          <w:kern w:val="0"/>
          <w:sz w:val="20"/>
          <w:szCs w:val="20"/>
        </w:rPr>
        <w:t> </w:t>
      </w:r>
    </w:p>
    <w:p>
      <w:pPr>
        <w:widowControl/>
        <w:spacing w:line="560" w:lineRule="atLeas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42"/>
          <w:szCs w:val="42"/>
        </w:rPr>
        <w:t>原油期货TAS问与答</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一、TAS介绍</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（一）什么是TAS？</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TAS指的是结算价交易机制（Trade at Settlement, TAS）,交易者可以通过特定的交易指令（TAS指令），在规定交易时段内，按照期货合约当日结算价或当日结算价增减若干个最小变动价位申报买卖期货合约。</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（二）为什么要推出TAS？</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TAS作为一种交易机制，其本质是为市场提供一种便捷高效的风险管理工具，可有效降低交易者风险管理成本，从而对促进市场功能发挥、改善市场投资者结构、提升价格影响力等起到积极作用。</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对于实体企业，在进行现货贸易点价时，多采用期货合约结算价作为定价基准。在利用期货市场进行风险对冲时，一般要通过盘中多次下单来模拟当日结算价，因此在交易执行方面存在较高的难度，且套保效率较低。TAS可以在规定的交易时段内以结算价或结算价附近的价格进行交易，大大降低了企业围绕结算价交易的不确定性，帮助企业更便利、更精准地做好风险管理。</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从国际市场情况看，除了实体企业，ETF和长期策略基金等机构投资者也运用TAS来进行换月移仓等操作，以降低套保和移仓成本，并减少对短期价格的冲击。</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总体而言，TAS的推出有助于提升市场主体套保交易的执行效率，促进市场风险管理功能发挥；吸引更为多元化的市场主体参与，改善市场投资者结构；促进交易者更为便利和广泛地参考中国期货价格，提升价格影响力。</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二、原油期货TAS指令</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（一）哪些交易者可以使用原油期货TAS指令进行交易？</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所有原油期货的交易者都可以使用TAS指令进行原油期货交易。</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（二）原油期货TAS指令适用于哪些合约？</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原油期货TAS指令目前只能用于最近月份合约和最近月份后第一、二、三月合约（以下简称适用合约）。适用合约自其最后交易日前第八个交易日收市后， TAS指令将无法在该合约使用。</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（三）原油期货TAS指令的申报价格是什么？</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目前， TAS申报价格范围为合约当日结算价-2元/桶至合约当日结算价+2元/桶。对于高于合约涨停板价格或低于合约跌停板价格的TAS成交，按合约涨停板价格或跌停板价格作为TAS成交价进行结算。</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（四）原油期货TAS指令的申报时段是什么？</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原油期货TAS指令可以在集合竞价阶段、第一节交易时间和日盘10:30-11:30使用，TAS交易时间结束后，所有未成交的TAS指令申报将由系统自动撤销。</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（五）原油期货TAS指令的撮合原则是什么？</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TAS指令只能与同一合约的TAS指令撮合成交，在集合竞价阶段采用最大成交量原则进行撮合，在连续竞价交易阶段采用价格优先、时间优先原则进行撮合。</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（六）原油期货TAS指令的报单类型有哪些？</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TAS指令报单和其他指令报单一样，对适用合约区分开仓、平今、平昨，以及一般、套保属性。</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（七）原油期货TAS指令可以附加其他指令吗？</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TAS指令暂不支持立即全部成交否则自动撤销（FOK）属性或立即成交剩余指令自动撤销（FAK）属性。</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（八）原油期货TAS指令交易的保证金如何收取？</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交易所在交易时段，对以TAS指令进行交易的，以该合约上一日结算价计算应冻结或应释放保证金，并纳入单向大边保证金计算。</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交易所在日终结算时，对以TAS指令交易形成的持仓，以该合约当日结算价计算应收保证金，并纳入单向大边保证金计算。</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（九）原油期货TAS指令的手续费如何收取？</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与TAS指令适用的原油期货合约规定保持一致。</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（十）如何查看原油期货TAS指令交易的成交情况？</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交易者可通过上海期货交易所网站、上海国际能源交易中心网站和会员服务系统、相关行情商软件查看原油期货TAS指令成交情况。盘中的统计数据中，TAS指令成交量不计入适用合约的成交量，且无成交额统计。收市结算后的统计数据中，TAS指令的成交额（量）计入适用合约的成交额（量）。</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（十一）适用合约只有TAS指令成交时，适用合约结算价如何确定？</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适用合约只有TAS指令成交时，该合约视为当日无成交，其当日结算价按照结算细则中当日无成交价格的期货合约的当日结算价确定方法确定。如果SC2010合约结算价为305.0元/桶， TAS指令卖申报以1.2元/桶成交，则TAS指令的成交价就确定为306.2元/桶。对于高于合约涨停板价格或低于合约跌停板价格的TAS成交，按合约涨停板价格或跌停板价格作为TAS成交价进行结算。</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三、TAS指令示例</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（一）如何使用TAS指令开仓？</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示例1 某客户在SC2308合约上无持仓，今日在SC2308合约上下达40手TAS指令买入、一般、开仓申报，与该合约当前存在的15手TAS指令卖申报以1.2元/桶成交。此时将成交15手，该客户在SC2308合约持仓为多头、一般、今仓15手。剩余的25手申报在11:30前未成交，被系统全部撤销。</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当日收市结算后，SC2308合约结算价为560.7元/桶，该客户该笔TAS指令成交的15手的成交价确定为561.9元/桶。</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示例2 某客户在SC2309合约上无持仓，今日下达10手TAS指令卖出、一般、开仓申报，以-0.8元/桶成交5手后，在SC2309合约持仓空头、一般、今仓5手。此后，该客户在该合约下达3手限价指令（非TAS指令）买入、一般、平今申报，成交3手后，该客户在SC2309合约上的空头、一般、今仓减至2手。</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当日收市结算后，SC2309合约结算价为559.6元/桶，该客户TAS指令成交的5手的成交价确定为558.8元/桶。</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（二）如何使用TAS指令平今仓？</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示例 某客户在SC2309合约上无持仓，今日下达10手限价指令（非TAS指令）卖出、一般、开仓申报，成交4手后，在SC2309合约持仓为空头、一般、今仓4手。此后，该客户在该合约下达1手TAS指令买入、一般、平今申报，以0元/桶成交1手后，该客户在SC2309合约上的空头、一般、今仓减至3手。</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当日收市结算后，SC2309合约结算价为559.6元/桶，该客户该笔TAS指令成交的1手的成交价确定为559.6元/桶。</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（三）如何使用TAS指令平昨仓？</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示例 某客户在SC2310合约上拥有50手多头、套保、昨仓，今日下达50手TAS指令卖出、套保、平昨申报，以-1.0元/桶成交40手后，该客户在SC2310合约上的多头、套保、昨仓减至10手。</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当日收市结算后，SC2310合约结算价为553.7元/桶，该客户该笔TAS指令成交的40手的成交价确定为552.7元/桶。</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（四）当TAS成交价触及涨跌停板时该如何处理？</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示例 某一交易日，SC2311合约跌停板价为551.2元/桶。某客户在SC2311合约上无持仓，当日下达10手TAS指令卖出、一般、开仓申报，以-2.0元/桶成交5手后，在SC2311合约持仓空头、一般、今仓5手。</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当日收市结算后，SC2311合约结算价为552.9元/桶。根据规定，TAS成交价不得高于合约涨停板价或低于合约跌停板价，因此，该客户该笔TAS指令成交的5手的成交价确定为551.2元/桶。</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widowControl/>
        <w:spacing w:line="560" w:lineRule="atLeast"/>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b/>
          <w:bCs/>
          <w:color w:val="000000"/>
          <w:kern w:val="0"/>
          <w:sz w:val="30"/>
          <w:szCs w:val="30"/>
        </w:rPr>
        <w:t>四、TAS运用示例</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（一）使用TAS进行套期保值</w:t>
      </w:r>
    </w:p>
    <w:p>
      <w:pPr>
        <w:widowControl/>
        <w:spacing w:line="560" w:lineRule="atLeast"/>
        <w:ind w:firstLine="60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示例一 9月12日，炼厂A从某贸易商手中采购了一批10月15-24日到货的中质原油，数量为10万吨，约定计价方式为SC 1912合约10月结算价的算术平均价，贴水为-7元/桶，付款时间预估为10月31日SC 1912合约收盘之后。</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A判断在OPEC减产，供应趋紧的背景下，SC价格下方空间有限，为规避计价期内价格上涨的风险，决定当日以437.9元/桶的价格买入720手SC1912合约。</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10月国庆假期之后，此批货物进入到现货计价期，A每日采用TAS指令以0元/桶进行平仓操作，结算当日计价的货物。（10万吨中质原油约为72万桶，大约为720手原油期货，10月份共计18个交易日，每个交易日大约结算4万桶 。）</w:t>
      </w:r>
      <w:r>
        <w:rPr>
          <w:rFonts w:hint="default" w:ascii="Times New Roman" w:hAnsi="Times New Roman" w:eastAsia="方正仿宋简体" w:cs="Times New Roman"/>
          <w:color w:val="000000"/>
          <w:kern w:val="0"/>
          <w:sz w:val="20"/>
          <w:szCs w:val="20"/>
        </w:rPr>
        <w:t> </w:t>
      </w:r>
    </w:p>
    <w:tbl>
      <w:tblPr>
        <w:tblStyle w:val="5"/>
        <w:tblW w:w="4900" w:type="pct"/>
        <w:tblInd w:w="0" w:type="dxa"/>
        <w:tblLayout w:type="autofit"/>
        <w:tblCellMar>
          <w:top w:w="0" w:type="dxa"/>
          <w:left w:w="0" w:type="dxa"/>
          <w:bottom w:w="0" w:type="dxa"/>
          <w:right w:w="0" w:type="dxa"/>
        </w:tblCellMar>
      </w:tblPr>
      <w:tblGrid>
        <w:gridCol w:w="1073"/>
        <w:gridCol w:w="1568"/>
        <w:gridCol w:w="1485"/>
        <w:gridCol w:w="2228"/>
        <w:gridCol w:w="1815"/>
      </w:tblGrid>
      <w:tr>
        <w:tblPrEx>
          <w:tblCellMar>
            <w:top w:w="0" w:type="dxa"/>
            <w:left w:w="0" w:type="dxa"/>
            <w:bottom w:w="0" w:type="dxa"/>
            <w:right w:w="0" w:type="dxa"/>
          </w:tblCellMar>
        </w:tblPrEx>
        <w:trPr>
          <w:trHeight w:val="408" w:hRule="atLeast"/>
        </w:trPr>
        <w:tc>
          <w:tcPr>
            <w:tcW w:w="650" w:type="pct"/>
            <w:tcBorders>
              <w:top w:val="single" w:color="auto" w:sz="8" w:space="0"/>
              <w:left w:val="single" w:color="auto" w:sz="8" w:space="0"/>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日期</w:t>
            </w:r>
          </w:p>
        </w:tc>
        <w:tc>
          <w:tcPr>
            <w:tcW w:w="95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期货市场</w:t>
            </w:r>
          </w:p>
        </w:tc>
        <w:tc>
          <w:tcPr>
            <w:tcW w:w="9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价格(元/桶)</w:t>
            </w:r>
          </w:p>
        </w:tc>
        <w:tc>
          <w:tcPr>
            <w:tcW w:w="135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期货平仓盈亏(元/桶)</w:t>
            </w:r>
          </w:p>
        </w:tc>
        <w:tc>
          <w:tcPr>
            <w:tcW w:w="10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FFFFFF"/>
                <w:kern w:val="0"/>
                <w:sz w:val="22"/>
              </w:rPr>
              <w:t>现货市场</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9月12日</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买入720手</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437.9</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36"/>
                <w:szCs w:val="36"/>
              </w:rPr>
              <w:t>      </w:t>
            </w:r>
            <w:r>
              <w:rPr>
                <w:rFonts w:hint="default" w:ascii="Times New Roman" w:hAnsi="Times New Roman" w:eastAsia="方正仿宋简体" w:cs="Times New Roman"/>
                <w:kern w:val="0"/>
                <w:sz w:val="20"/>
                <w:szCs w:val="20"/>
              </w:rPr>
              <w:t>-</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0"/>
                <w:szCs w:val="20"/>
              </w:rPr>
              <w:t>        -</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10月8日</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TAS卖出40手</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432.9</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-5</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现货计价4万桶</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10月9日</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TAS卖出40手</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440</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2.1</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现货计价4万桶</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10月16日</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TAS卖出40手</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455.7</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17.8</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现货计价4万桶</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10月17日</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TAS卖出40手</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448.5</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10.6</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现货计价4万桶</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10月30日</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TAS卖出40手</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454.2</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16.3</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现货计价4万桶</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10月31日</w:t>
            </w:r>
          </w:p>
        </w:tc>
        <w:tc>
          <w:tcPr>
            <w:tcW w:w="9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TAS卖出40手</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452.2</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14.3</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现货计价4万桶</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2"/>
              </w:rPr>
              <w:t>10月总计</w:t>
            </w:r>
          </w:p>
        </w:tc>
        <w:tc>
          <w:tcPr>
            <w:tcW w:w="9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2"/>
              </w:rPr>
              <w:t>TAS卖出720手</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2"/>
              </w:rPr>
              <w:t>449.57（月均价）</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2"/>
              </w:rPr>
              <w:t>11.67</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2"/>
              </w:rPr>
              <w:t>现货计价72万桶</w:t>
            </w:r>
          </w:p>
        </w:tc>
      </w:tr>
      <w:tr>
        <w:tblPrEx>
          <w:tblCellMar>
            <w:top w:w="0" w:type="dxa"/>
            <w:left w:w="0" w:type="dxa"/>
            <w:bottom w:w="0" w:type="dxa"/>
            <w:right w:w="0" w:type="dxa"/>
          </w:tblCellMar>
        </w:tblPrEx>
        <w:trPr>
          <w:trHeight w:val="408" w:hRule="atLeast"/>
        </w:trPr>
        <w:tc>
          <w:tcPr>
            <w:tcW w:w="65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2"/>
              </w:rPr>
              <w:t>最终效果</w:t>
            </w:r>
          </w:p>
        </w:tc>
        <w:tc>
          <w:tcPr>
            <w:tcW w:w="4300" w:type="pct"/>
            <w:gridSpan w:val="4"/>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2"/>
              </w:rPr>
              <w:t>期货盈利449.57-437.9=11.67元/桶，成功将此批货物结算价锁定在437.9元/桶，实际成交价格为437.9-7=430.9元/桶</w:t>
            </w:r>
          </w:p>
        </w:tc>
      </w:tr>
    </w:tbl>
    <w:p>
      <w:pPr>
        <w:widowControl/>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示例二 9月12日，炼厂A从贸易商B手中采购了一批10月15-24日到货的中质原油，数量为10万吨，约定计价方式为SC 1912合约10月结算价的算术平均价，贴水为-7元/桶，付款时间预估为10月31日SC1912合约收盘之后。</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10月国庆假期之后，此批货物正式进入计价阶段。但随着价格的上涨，10月11日，A判断价格估值已经偏高，后期价格存在下跌的可能, 决定将结算价格在450元/桶之上的货物重新在盘面上对冲为活价货物，等待价格下跌至450元/桶之下再进行锁价操作。</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通过利用TAS指令进行操作，在10月11日-16日每日按TAS 0元/桶进行卖出当日现货计价的相同数量，在10月18-23日每日按TAS 0 元/桶进行平仓操作，结算已对冲的现货价格。（10月份共18个交易日，10万吨中质原油约为72万桶，每个交易日结算4万桶，为40手原油期货。）</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widowControl/>
        <w:spacing w:line="560" w:lineRule="atLeast"/>
        <w:ind w:firstLine="48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tbl>
      <w:tblPr>
        <w:tblStyle w:val="5"/>
        <w:tblW w:w="0" w:type="auto"/>
        <w:jc w:val="center"/>
        <w:tblLayout w:type="autofit"/>
        <w:tblCellMar>
          <w:top w:w="0" w:type="dxa"/>
          <w:left w:w="0" w:type="dxa"/>
          <w:bottom w:w="0" w:type="dxa"/>
          <w:right w:w="0" w:type="dxa"/>
        </w:tblCellMar>
      </w:tblPr>
      <w:tblGrid>
        <w:gridCol w:w="1271"/>
        <w:gridCol w:w="895"/>
        <w:gridCol w:w="1809"/>
        <w:gridCol w:w="1701"/>
        <w:gridCol w:w="993"/>
        <w:gridCol w:w="1559"/>
      </w:tblGrid>
      <w:tr>
        <w:tblPrEx>
          <w:tblCellMar>
            <w:top w:w="0" w:type="dxa"/>
            <w:left w:w="0" w:type="dxa"/>
            <w:bottom w:w="0" w:type="dxa"/>
            <w:right w:w="0" w:type="dxa"/>
          </w:tblCellMar>
        </w:tblPrEx>
        <w:trPr>
          <w:trHeight w:val="932" w:hRule="atLeast"/>
          <w:jc w:val="center"/>
        </w:trPr>
        <w:tc>
          <w:tcPr>
            <w:tcW w:w="1271" w:type="dxa"/>
            <w:tcBorders>
              <w:top w:val="single" w:color="auto" w:sz="8" w:space="0"/>
              <w:left w:val="single" w:color="auto" w:sz="8" w:space="0"/>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日期</w:t>
            </w:r>
          </w:p>
        </w:tc>
        <w:tc>
          <w:tcPr>
            <w:tcW w:w="895"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结算价</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(元/桶)</w:t>
            </w:r>
          </w:p>
        </w:tc>
        <w:tc>
          <w:tcPr>
            <w:tcW w:w="1809"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现货市场</w:t>
            </w:r>
          </w:p>
        </w:tc>
        <w:tc>
          <w:tcPr>
            <w:tcW w:w="1701"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期货市场</w:t>
            </w:r>
          </w:p>
        </w:tc>
        <w:tc>
          <w:tcPr>
            <w:tcW w:w="993"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期货平仓</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盈亏</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(元/桶)</w:t>
            </w:r>
          </w:p>
        </w:tc>
        <w:tc>
          <w:tcPr>
            <w:tcW w:w="1559"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FFFFFF"/>
                <w:kern w:val="0"/>
                <w:sz w:val="24"/>
                <w:szCs w:val="24"/>
              </w:rPr>
              <w:t>套保后的现货计价数量</w:t>
            </w:r>
          </w:p>
        </w:tc>
      </w:tr>
      <w:tr>
        <w:trPr>
          <w:trHeight w:val="430"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10月8日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432.9</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当日计价4万桶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r>
      <w:tr>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10月11日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451.8</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TAS卖出40手</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当日未计价</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10月14日</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464.8</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TAS卖出40手</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当日未计价</w:t>
            </w:r>
          </w:p>
        </w:tc>
      </w:tr>
      <w:tr>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10月15日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459.4</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TAS卖出40手</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当日未计价</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10月16日</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455.7</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TAS卖出40手</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当日未计价</w:t>
            </w:r>
          </w:p>
        </w:tc>
      </w:tr>
      <w:tr>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10月17日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448.5</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当日计价4万桶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10月18日</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444.9</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TAS平仓40手</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6.9</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当日计价8万桶</w:t>
            </w:r>
          </w:p>
        </w:tc>
      </w:tr>
      <w:tr>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10月21日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446.3</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TAS平仓40手</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18.5</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当日计价8万桶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10月22日</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442.4</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TAS平仓40手</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17</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当日计价8万桶</w:t>
            </w:r>
          </w:p>
        </w:tc>
      </w:tr>
      <w:tr>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10月23日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444.7</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TAS平仓40手</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11</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当日计价8万桶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r>
      <w:tr>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10月31日</w:t>
            </w:r>
          </w:p>
        </w:tc>
        <w:tc>
          <w:tcPr>
            <w:tcW w:w="895"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448.56</w:t>
            </w:r>
          </w:p>
        </w:tc>
        <w:tc>
          <w:tcPr>
            <w:tcW w:w="180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现货计价4万桶</w:t>
            </w:r>
          </w:p>
        </w:tc>
        <w:tc>
          <w:tcPr>
            <w:tcW w:w="1701"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4"/>
                <w:szCs w:val="24"/>
              </w:rPr>
              <w:t>当日计价4万桶</w:t>
            </w:r>
          </w:p>
        </w:tc>
      </w:tr>
      <w:tr>
        <w:tblPrEx>
          <w:tblCellMar>
            <w:top w:w="0" w:type="dxa"/>
            <w:left w:w="0" w:type="dxa"/>
            <w:bottom w:w="0" w:type="dxa"/>
            <w:right w:w="0" w:type="dxa"/>
          </w:tblCellMar>
        </w:tblPrEx>
        <w:trPr>
          <w:trHeight w:val="328" w:hRule="atLeast"/>
          <w:jc w:val="center"/>
        </w:trPr>
        <w:tc>
          <w:tcPr>
            <w:tcW w:w="127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4"/>
                <w:szCs w:val="24"/>
              </w:rPr>
              <w:t>10月总计</w:t>
            </w:r>
          </w:p>
        </w:tc>
        <w:tc>
          <w:tcPr>
            <w:tcW w:w="895"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4"/>
                <w:szCs w:val="24"/>
              </w:rPr>
              <w:t>449.57</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4"/>
                <w:szCs w:val="24"/>
              </w:rPr>
              <w:t>（月均价）</w:t>
            </w:r>
          </w:p>
        </w:tc>
        <w:tc>
          <w:tcPr>
            <w:tcW w:w="180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4"/>
                <w:szCs w:val="24"/>
              </w:rPr>
              <w:t>现货计价72万桶</w:t>
            </w:r>
          </w:p>
        </w:tc>
        <w:tc>
          <w:tcPr>
            <w:tcW w:w="1701"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993"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c>
          <w:tcPr>
            <w:tcW w:w="1559"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 </w:t>
            </w:r>
          </w:p>
        </w:tc>
      </w:tr>
      <w:tr>
        <w:trPr>
          <w:trHeight w:val="55" w:hRule="atLeast"/>
          <w:jc w:val="center"/>
        </w:trPr>
        <w:tc>
          <w:tcPr>
            <w:tcW w:w="127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spacing w:line="55" w:lineRule="atLeast"/>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4"/>
                <w:szCs w:val="24"/>
              </w:rPr>
              <w:t>最终效果</w:t>
            </w:r>
          </w:p>
        </w:tc>
        <w:tc>
          <w:tcPr>
            <w:tcW w:w="6957" w:type="dxa"/>
            <w:gridSpan w:val="5"/>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4"/>
                <w:szCs w:val="24"/>
              </w:rPr>
              <w:t>期货160手盈利（6.9+18.5+17+11）/4=13.35元/桶，实纸货盈利合计后，</w:t>
            </w:r>
          </w:p>
          <w:p>
            <w:pPr>
              <w:widowControl/>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4"/>
                <w:szCs w:val="24"/>
              </w:rPr>
              <w:t>成功将此批货物结算价由449.57元/桶降低到446.6元/桶，</w:t>
            </w:r>
          </w:p>
          <w:p>
            <w:pPr>
              <w:widowControl/>
              <w:spacing w:line="55" w:lineRule="atLeast"/>
              <w:jc w:val="center"/>
              <w:textAlignment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b/>
                <w:bCs/>
                <w:color w:val="000000"/>
                <w:kern w:val="0"/>
                <w:sz w:val="24"/>
                <w:szCs w:val="24"/>
              </w:rPr>
              <w:t>实际成交价格为446.6-7=439.6元/桶</w:t>
            </w:r>
          </w:p>
        </w:tc>
      </w:tr>
    </w:tbl>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（二）TAS在ETF基金管理的运用</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11月8日，做市商A向基金管理人B以现金申购方式申购原油期货ETF100万份（最小申赎单位为50万份）。该份额于11月9日生效流通，申购对价按基金管理人B实际补券价格结算。11月8日，原油期货SC2012合约结算价为462.1元/桶，ETF份额单位净值为0.9242元/份。</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做市商A为规避市场波动风险，在11月8日通过期货市场卖出2手原油期货合约，价格为461.6元/桶。11月9日，原油期货出现单边上涨行情。原油期货上涨1%至466.7元/桶时（假设二级市场涨幅与期货市场相同），做市商A卖出ETF份额，同时对期货进行平仓。假设基金管理人B在行情上涨初始完成补券，补券均价465元/桶价，则做市商A整体损益为（不考虑手续费等）：</w:t>
      </w:r>
      <w:r>
        <w:rPr>
          <w:rFonts w:hint="default" w:ascii="Times New Roman" w:hAnsi="Times New Roman" w:eastAsia="方正仿宋简体" w:cs="Times New Roman"/>
          <w:color w:val="000000"/>
          <w:kern w:val="0"/>
          <w:sz w:val="20"/>
          <w:szCs w:val="20"/>
        </w:rPr>
        <w:t> </w:t>
      </w:r>
    </w:p>
    <w:p>
      <w:pPr>
        <w:widowControl/>
        <w:spacing w:line="560" w:lineRule="atLeast"/>
        <w:ind w:firstLine="48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tbl>
      <w:tblPr>
        <w:tblStyle w:val="5"/>
        <w:tblW w:w="5000" w:type="pct"/>
        <w:tblInd w:w="0" w:type="dxa"/>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550"/>
        <w:gridCol w:w="1805"/>
        <w:gridCol w:w="3057"/>
        <w:gridCol w:w="887"/>
        <w:gridCol w:w="2223"/>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trPr>
        <w:tc>
          <w:tcPr>
            <w:tcW w:w="300"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损益</w:t>
            </w:r>
          </w:p>
        </w:tc>
        <w:tc>
          <w:tcPr>
            <w:tcW w:w="2850" w:type="pct"/>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现货</w:t>
            </w:r>
          </w:p>
        </w:tc>
        <w:tc>
          <w:tcPr>
            <w:tcW w:w="1800" w:type="pct"/>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期货</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trPr>
        <w:tc>
          <w:tcPr>
            <w:tcW w:w="300" w:type="pct"/>
            <w:vMerge w:val="restart"/>
            <w:tcBorders>
              <w:top w:val="nil"/>
              <w:left w:val="single" w:color="auto" w:sz="8" w:space="0"/>
              <w:bottom w:val="single" w:color="000000"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　</w:t>
            </w:r>
          </w:p>
        </w:tc>
        <w:tc>
          <w:tcPr>
            <w:tcW w:w="10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申购对价</w:t>
            </w:r>
          </w:p>
        </w:tc>
        <w:tc>
          <w:tcPr>
            <w:tcW w:w="17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465*2000=930,000</w:t>
            </w:r>
          </w:p>
        </w:tc>
        <w:tc>
          <w:tcPr>
            <w:tcW w:w="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卖开</w:t>
            </w:r>
          </w:p>
        </w:tc>
        <w:tc>
          <w:tcPr>
            <w:tcW w:w="12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461.6*2000=923,200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方正仿宋简体" w:cs="Times New Roman"/>
                <w:kern w:val="0"/>
                <w:sz w:val="24"/>
                <w:szCs w:val="24"/>
              </w:rPr>
            </w:pPr>
          </w:p>
        </w:tc>
        <w:tc>
          <w:tcPr>
            <w:tcW w:w="10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卖出份额价值</w:t>
            </w:r>
          </w:p>
        </w:tc>
        <w:tc>
          <w:tcPr>
            <w:tcW w:w="17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0.9242*1.01*1,000,000</w:t>
            </w:r>
          </w:p>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=933,400</w:t>
            </w:r>
          </w:p>
        </w:tc>
        <w:tc>
          <w:tcPr>
            <w:tcW w:w="5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买平</w:t>
            </w:r>
          </w:p>
        </w:tc>
        <w:tc>
          <w:tcPr>
            <w:tcW w:w="12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466.7*2000=933,400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PrEx>
        <w:trPr>
          <w:trHeight w:val="288" w:hRule="atLeast"/>
        </w:trPr>
        <w:tc>
          <w:tcPr>
            <w:tcW w:w="300"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小计</w:t>
            </w:r>
          </w:p>
        </w:tc>
        <w:tc>
          <w:tcPr>
            <w:tcW w:w="2850" w:type="pct"/>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933,400-930,000=3,400</w:t>
            </w:r>
          </w:p>
        </w:tc>
        <w:tc>
          <w:tcPr>
            <w:tcW w:w="1800" w:type="pct"/>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923,200-933,400=-10,200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PrEx>
        <w:trPr>
          <w:trHeight w:val="288" w:hRule="atLeast"/>
        </w:trPr>
        <w:tc>
          <w:tcPr>
            <w:tcW w:w="300"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合计</w:t>
            </w:r>
          </w:p>
        </w:tc>
        <w:tc>
          <w:tcPr>
            <w:tcW w:w="4650" w:type="pct"/>
            <w:gridSpan w:val="4"/>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亏损6800元，做市商风险来源为卖开原油期货合约成本与基金管理人实际与其对价的补券成本的差异。</w:t>
            </w:r>
          </w:p>
        </w:tc>
      </w:tr>
    </w:tbl>
    <w:p>
      <w:pPr>
        <w:widowControl/>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p>
      <w:pPr>
        <w:widowControl/>
        <w:spacing w:line="560" w:lineRule="atLeast"/>
        <w:ind w:firstLine="555"/>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30"/>
          <w:szCs w:val="30"/>
        </w:rPr>
        <w:t>在有TAS的情况下，做市商A可与基金管理人B约定以11月9日原油期货SC2012合约TAS完成补券，做市商A在当日以TAS 0元/桶卖出对冲，双方TAS指令报单均成交。假设SC2012合约当日结算价为465.9元/桶，则做市商A整体损益为（不考虑手续费等）：</w:t>
      </w:r>
      <w:r>
        <w:rPr>
          <w:rFonts w:hint="default" w:ascii="Times New Roman" w:hAnsi="Times New Roman" w:eastAsia="方正仿宋简体" w:cs="Times New Roman"/>
          <w:color w:val="000000"/>
          <w:kern w:val="0"/>
          <w:sz w:val="20"/>
          <w:szCs w:val="20"/>
        </w:rPr>
        <w:t> </w:t>
      </w:r>
    </w:p>
    <w:p>
      <w:pPr>
        <w:widowControl/>
        <w:spacing w:line="560" w:lineRule="atLeast"/>
        <w:ind w:firstLine="480"/>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 </w:t>
      </w:r>
    </w:p>
    <w:tbl>
      <w:tblPr>
        <w:tblStyle w:val="5"/>
        <w:tblW w:w="5000" w:type="pct"/>
        <w:tblInd w:w="0" w:type="dxa"/>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656"/>
        <w:gridCol w:w="1773"/>
        <w:gridCol w:w="3150"/>
        <w:gridCol w:w="656"/>
        <w:gridCol w:w="2287"/>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trPr>
        <w:tc>
          <w:tcPr>
            <w:tcW w:w="300"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损益</w:t>
            </w:r>
          </w:p>
        </w:tc>
        <w:tc>
          <w:tcPr>
            <w:tcW w:w="2900" w:type="pct"/>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现货</w:t>
            </w:r>
          </w:p>
        </w:tc>
        <w:tc>
          <w:tcPr>
            <w:tcW w:w="1750" w:type="pct"/>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期货</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trPr>
        <w:tc>
          <w:tcPr>
            <w:tcW w:w="300" w:type="pct"/>
            <w:vMerge w:val="restart"/>
            <w:tcBorders>
              <w:top w:val="nil"/>
              <w:left w:val="single" w:color="auto" w:sz="8" w:space="0"/>
              <w:bottom w:val="single" w:color="000000"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　</w:t>
            </w:r>
          </w:p>
        </w:tc>
        <w:tc>
          <w:tcPr>
            <w:tcW w:w="10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申购对价</w:t>
            </w:r>
          </w:p>
        </w:tc>
        <w:tc>
          <w:tcPr>
            <w:tcW w:w="18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465.9*2000=931,800</w:t>
            </w:r>
          </w:p>
        </w:tc>
        <w:tc>
          <w:tcPr>
            <w:tcW w:w="4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卖开</w:t>
            </w:r>
          </w:p>
        </w:tc>
        <w:tc>
          <w:tcPr>
            <w:tcW w:w="13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465.9*2000=931,800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方正仿宋简体" w:cs="Times New Roman"/>
                <w:kern w:val="0"/>
                <w:sz w:val="24"/>
                <w:szCs w:val="24"/>
              </w:rPr>
            </w:pPr>
          </w:p>
        </w:tc>
        <w:tc>
          <w:tcPr>
            <w:tcW w:w="10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卖出份额价值</w:t>
            </w:r>
          </w:p>
        </w:tc>
        <w:tc>
          <w:tcPr>
            <w:tcW w:w="18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0.9242*1.01*1,000,000</w:t>
            </w:r>
          </w:p>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=933,400</w:t>
            </w:r>
          </w:p>
        </w:tc>
        <w:tc>
          <w:tcPr>
            <w:tcW w:w="4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买平</w:t>
            </w:r>
          </w:p>
        </w:tc>
        <w:tc>
          <w:tcPr>
            <w:tcW w:w="13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466.7*2000=933,400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trPr>
        <w:tc>
          <w:tcPr>
            <w:tcW w:w="300"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合计</w:t>
            </w:r>
          </w:p>
        </w:tc>
        <w:tc>
          <w:tcPr>
            <w:tcW w:w="4650" w:type="pct"/>
            <w:gridSpan w:val="4"/>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color w:val="000000"/>
                <w:kern w:val="0"/>
                <w:sz w:val="22"/>
              </w:rPr>
              <w:t>盈亏平衡</w:t>
            </w:r>
          </w:p>
        </w:tc>
      </w:tr>
    </w:tbl>
    <w:p>
      <w:pPr>
        <w:widowControl/>
        <w:jc w:val="left"/>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4"/>
          <w:szCs w:val="24"/>
        </w:rPr>
        <w:t> </w:t>
      </w:r>
    </w:p>
    <w:p>
      <w:pPr>
        <w:rPr>
          <w:rFonts w:hint="default" w:ascii="Times New Roman" w:hAnsi="Times New Roman" w:eastAsia="方正仿宋简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F73"/>
    <w:rsid w:val="002C4C9D"/>
    <w:rsid w:val="006B34B7"/>
    <w:rsid w:val="006F2F73"/>
    <w:rsid w:val="00A07E46"/>
    <w:rsid w:val="00AD0DF5"/>
    <w:rsid w:val="00DA61F5"/>
    <w:rsid w:val="FDEF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nospacing"/>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14</Pages>
  <Words>1095</Words>
  <Characters>6245</Characters>
  <Lines>52</Lines>
  <Paragraphs>14</Paragraphs>
  <TotalTime>0</TotalTime>
  <ScaleCrop>false</ScaleCrop>
  <LinksUpToDate>false</LinksUpToDate>
  <CharactersWithSpaces>7326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2026-06-17T18:16:00Z</dcterms:created>
  <dc:creator>江焘</dc:creator>
  <cp:lastModifiedBy>chen.yefeng</cp:lastModifiedBy>
  <dcterms:modified xsi:type="dcterms:W3CDTF">2026-06-18T17:57:57Z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CD05B26D79ED48BE25C1336A6A988E41</vt:lpwstr>
  </property>
</Properties>
</file>